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2E810C">
      <w:pPr>
        <w:spacing w:line="240" w:lineRule="auto"/>
        <w:rPr>
          <w:rFonts w:hint="eastAsia" w:ascii="仿宋" w:hAnsi="仿宋" w:eastAsia="仿宋" w:cs="仿宋"/>
          <w:color w:val="auto"/>
          <w:kern w:val="0"/>
          <w:sz w:val="32"/>
          <w:szCs w:val="32"/>
          <w:lang w:val="en-US" w:eastAsia="zh-CN"/>
        </w:rPr>
      </w:pPr>
      <w:r>
        <w:rPr>
          <w:rFonts w:hint="eastAsia" w:ascii="仿宋" w:hAnsi="仿宋" w:eastAsia="仿宋" w:cs="仿宋"/>
          <w:color w:val="auto"/>
          <w:kern w:val="0"/>
          <w:sz w:val="32"/>
          <w:szCs w:val="32"/>
        </w:rPr>
        <w:t>附件</w:t>
      </w:r>
      <w:r>
        <w:rPr>
          <w:rFonts w:hint="eastAsia" w:ascii="仿宋" w:hAnsi="仿宋" w:eastAsia="仿宋" w:cs="仿宋"/>
          <w:color w:val="auto"/>
          <w:kern w:val="0"/>
          <w:sz w:val="32"/>
          <w:szCs w:val="32"/>
          <w:lang w:val="en-US" w:eastAsia="zh-CN"/>
        </w:rPr>
        <w:t>5</w:t>
      </w:r>
    </w:p>
    <w:p w14:paraId="3621A5A5">
      <w:pPr>
        <w:jc w:val="center"/>
        <w:rPr>
          <w:rFonts w:hint="eastAsia" w:ascii="黑体" w:hAnsi="黑体" w:eastAsia="黑体" w:cs="黑体"/>
          <w:b/>
          <w:bCs/>
          <w:color w:val="auto"/>
          <w:sz w:val="32"/>
          <w:szCs w:val="32"/>
          <w:lang w:val="en-US" w:eastAsia="zh-CN"/>
        </w:rPr>
      </w:pPr>
      <w:r>
        <w:rPr>
          <w:rFonts w:hint="eastAsia" w:ascii="黑体" w:hAnsi="黑体" w:eastAsia="黑体" w:cs="黑体"/>
          <w:b/>
          <w:bCs/>
          <w:color w:val="auto"/>
          <w:sz w:val="32"/>
          <w:szCs w:val="32"/>
          <w:lang w:val="en-US" w:eastAsia="zh-CN"/>
        </w:rPr>
        <w:t>2024</w:t>
      </w:r>
      <w:r>
        <w:rPr>
          <w:rFonts w:hint="eastAsia" w:ascii="黑体" w:hAnsi="黑体" w:eastAsia="黑体" w:cs="黑体"/>
          <w:b/>
          <w:bCs/>
          <w:color w:val="auto"/>
          <w:sz w:val="32"/>
          <w:szCs w:val="32"/>
        </w:rPr>
        <w:t>年度</w:t>
      </w:r>
      <w:r>
        <w:rPr>
          <w:rFonts w:hint="eastAsia" w:ascii="黑体" w:hAnsi="黑体" w:eastAsia="黑体" w:cs="黑体"/>
          <w:b/>
          <w:bCs/>
          <w:color w:val="auto"/>
          <w:sz w:val="32"/>
          <w:szCs w:val="32"/>
          <w:lang w:eastAsia="zh-CN"/>
        </w:rPr>
        <w:t>益阳市资阳区机关事务服务中心</w:t>
      </w:r>
    </w:p>
    <w:p w14:paraId="1CDDBC10">
      <w:pPr>
        <w:jc w:val="center"/>
        <w:rPr>
          <w:rFonts w:hint="eastAsia" w:ascii="黑体" w:hAnsi="黑体" w:eastAsia="黑体" w:cs="黑体"/>
          <w:b/>
          <w:bCs/>
          <w:color w:val="auto"/>
          <w:sz w:val="32"/>
          <w:szCs w:val="32"/>
        </w:rPr>
      </w:pPr>
      <w:r>
        <w:rPr>
          <w:rFonts w:hint="eastAsia" w:ascii="黑体" w:hAnsi="黑体" w:eastAsia="黑体" w:cs="黑体"/>
          <w:b/>
          <w:bCs/>
          <w:color w:val="auto"/>
          <w:sz w:val="32"/>
          <w:szCs w:val="32"/>
        </w:rPr>
        <w:t>部门整体支出绩效自评报告</w:t>
      </w:r>
    </w:p>
    <w:p w14:paraId="05D74228">
      <w:pPr>
        <w:jc w:val="center"/>
        <w:rPr>
          <w:rFonts w:hint="eastAsia" w:ascii="仿宋" w:hAnsi="仿宋" w:eastAsia="仿宋" w:cs="仿宋"/>
          <w:color w:val="auto"/>
          <w:sz w:val="32"/>
          <w:szCs w:val="32"/>
        </w:rPr>
      </w:pPr>
    </w:p>
    <w:p w14:paraId="003E201F">
      <w:pPr>
        <w:jc w:val="center"/>
        <w:rPr>
          <w:rFonts w:hint="eastAsia" w:ascii="仿宋" w:hAnsi="仿宋" w:eastAsia="仿宋" w:cs="仿宋"/>
          <w:color w:val="auto"/>
          <w:sz w:val="32"/>
          <w:szCs w:val="32"/>
        </w:rPr>
      </w:pPr>
    </w:p>
    <w:p w14:paraId="1712CAF3">
      <w:pPr>
        <w:jc w:val="center"/>
        <w:rPr>
          <w:rFonts w:hint="eastAsia" w:ascii="仿宋" w:hAnsi="仿宋" w:eastAsia="仿宋" w:cs="仿宋"/>
          <w:color w:val="auto"/>
          <w:sz w:val="32"/>
          <w:szCs w:val="32"/>
        </w:rPr>
      </w:pPr>
    </w:p>
    <w:p w14:paraId="31BE5278">
      <w:pPr>
        <w:jc w:val="center"/>
        <w:rPr>
          <w:rFonts w:hint="eastAsia" w:ascii="仿宋" w:hAnsi="仿宋" w:eastAsia="仿宋" w:cs="仿宋"/>
          <w:color w:val="auto"/>
          <w:sz w:val="32"/>
          <w:szCs w:val="32"/>
        </w:rPr>
      </w:pPr>
    </w:p>
    <w:p w14:paraId="6C4D9954">
      <w:pPr>
        <w:jc w:val="center"/>
        <w:rPr>
          <w:rFonts w:hint="eastAsia" w:ascii="仿宋" w:hAnsi="仿宋" w:eastAsia="仿宋" w:cs="仿宋"/>
          <w:color w:val="auto"/>
          <w:sz w:val="32"/>
          <w:szCs w:val="32"/>
        </w:rPr>
      </w:pPr>
    </w:p>
    <w:p w14:paraId="109CE269">
      <w:pPr>
        <w:jc w:val="center"/>
        <w:rPr>
          <w:rFonts w:hint="eastAsia" w:ascii="仿宋" w:hAnsi="仿宋" w:eastAsia="仿宋" w:cs="仿宋"/>
          <w:color w:val="auto"/>
          <w:sz w:val="32"/>
          <w:szCs w:val="32"/>
        </w:rPr>
      </w:pPr>
    </w:p>
    <w:p w14:paraId="7223BA05">
      <w:pPr>
        <w:jc w:val="center"/>
        <w:rPr>
          <w:rFonts w:hint="eastAsia" w:ascii="仿宋" w:hAnsi="仿宋" w:eastAsia="仿宋" w:cs="仿宋"/>
          <w:color w:val="auto"/>
          <w:sz w:val="32"/>
          <w:szCs w:val="32"/>
        </w:rPr>
      </w:pPr>
    </w:p>
    <w:p w14:paraId="197A15D2">
      <w:pPr>
        <w:ind w:firstLine="880" w:firstLineChars="200"/>
        <w:jc w:val="center"/>
        <w:rPr>
          <w:rFonts w:hint="eastAsia" w:ascii="仿宋" w:hAnsi="仿宋" w:eastAsia="仿宋" w:cs="仿宋"/>
          <w:color w:val="auto"/>
          <w:sz w:val="44"/>
          <w:szCs w:val="44"/>
        </w:rPr>
      </w:pPr>
    </w:p>
    <w:p w14:paraId="68FCB87B">
      <w:pPr>
        <w:ind w:firstLine="880" w:firstLineChars="200"/>
        <w:jc w:val="center"/>
        <w:rPr>
          <w:rFonts w:hint="eastAsia" w:ascii="仿宋" w:hAnsi="仿宋" w:eastAsia="仿宋" w:cs="仿宋"/>
          <w:color w:val="auto"/>
          <w:sz w:val="44"/>
          <w:szCs w:val="44"/>
        </w:rPr>
      </w:pPr>
    </w:p>
    <w:p w14:paraId="79E4EAF1">
      <w:pPr>
        <w:ind w:firstLine="880" w:firstLineChars="200"/>
        <w:jc w:val="center"/>
        <w:rPr>
          <w:rFonts w:hint="eastAsia" w:ascii="仿宋" w:hAnsi="仿宋" w:eastAsia="仿宋" w:cs="仿宋"/>
          <w:color w:val="auto"/>
          <w:sz w:val="44"/>
          <w:szCs w:val="44"/>
        </w:rPr>
      </w:pPr>
    </w:p>
    <w:p w14:paraId="73337680">
      <w:pPr>
        <w:ind w:firstLine="720" w:firstLineChars="200"/>
        <w:jc w:val="both"/>
        <w:rPr>
          <w:rFonts w:hint="eastAsia" w:ascii="仿宋" w:hAnsi="仿宋" w:eastAsia="仿宋" w:cs="仿宋"/>
          <w:color w:val="auto"/>
          <w:sz w:val="36"/>
          <w:szCs w:val="36"/>
          <w:lang w:eastAsia="zh-CN"/>
        </w:rPr>
      </w:pPr>
    </w:p>
    <w:p w14:paraId="2EDD13D3">
      <w:pPr>
        <w:ind w:firstLine="720" w:firstLineChars="200"/>
        <w:jc w:val="both"/>
        <w:rPr>
          <w:rFonts w:hint="eastAsia" w:ascii="仿宋" w:hAnsi="仿宋" w:eastAsia="仿宋" w:cs="仿宋"/>
          <w:color w:val="auto"/>
          <w:sz w:val="36"/>
          <w:szCs w:val="36"/>
          <w:lang w:eastAsia="zh-CN"/>
        </w:rPr>
      </w:pPr>
    </w:p>
    <w:p w14:paraId="7E5AC833">
      <w:pPr>
        <w:ind w:firstLine="720" w:firstLineChars="200"/>
        <w:jc w:val="both"/>
        <w:rPr>
          <w:rFonts w:hint="eastAsia" w:ascii="仿宋" w:hAnsi="仿宋" w:eastAsia="仿宋" w:cs="仿宋"/>
          <w:color w:val="auto"/>
          <w:sz w:val="36"/>
          <w:szCs w:val="36"/>
          <w:u w:val="single"/>
          <w:lang w:val="en-US" w:eastAsia="zh-CN"/>
        </w:rPr>
      </w:pPr>
      <w:r>
        <w:rPr>
          <w:rFonts w:hint="eastAsia" w:ascii="仿宋" w:hAnsi="仿宋" w:eastAsia="仿宋" w:cs="仿宋"/>
          <w:color w:val="auto"/>
          <w:sz w:val="36"/>
          <w:szCs w:val="36"/>
          <w:lang w:eastAsia="zh-CN"/>
        </w:rPr>
        <w:t>部门（</w:t>
      </w:r>
      <w:r>
        <w:rPr>
          <w:rFonts w:hint="eastAsia" w:ascii="仿宋" w:hAnsi="仿宋" w:eastAsia="仿宋" w:cs="仿宋"/>
          <w:color w:val="auto"/>
          <w:sz w:val="36"/>
          <w:szCs w:val="36"/>
        </w:rPr>
        <w:t>单位</w:t>
      </w:r>
      <w:r>
        <w:rPr>
          <w:rFonts w:hint="eastAsia" w:ascii="仿宋" w:hAnsi="仿宋" w:eastAsia="仿宋" w:cs="仿宋"/>
          <w:color w:val="auto"/>
          <w:sz w:val="36"/>
          <w:szCs w:val="36"/>
          <w:lang w:eastAsia="zh-CN"/>
        </w:rPr>
        <w:t>）</w:t>
      </w:r>
      <w:r>
        <w:rPr>
          <w:rFonts w:hint="eastAsia" w:ascii="仿宋" w:hAnsi="仿宋" w:eastAsia="仿宋" w:cs="仿宋"/>
          <w:color w:val="auto"/>
          <w:sz w:val="36"/>
          <w:szCs w:val="36"/>
        </w:rPr>
        <w:t>名称：</w:t>
      </w:r>
      <w:r>
        <w:rPr>
          <w:rFonts w:hint="eastAsia" w:ascii="仿宋" w:hAnsi="仿宋" w:eastAsia="仿宋" w:cs="仿宋"/>
          <w:color w:val="auto"/>
          <w:sz w:val="36"/>
          <w:szCs w:val="36"/>
          <w:lang w:val="en-US" w:eastAsia="zh-CN"/>
        </w:rPr>
        <w:t xml:space="preserve"> </w:t>
      </w:r>
      <w:r>
        <w:rPr>
          <w:rFonts w:hint="eastAsia" w:ascii="仿宋" w:hAnsi="仿宋" w:eastAsia="仿宋" w:cs="仿宋"/>
          <w:color w:val="auto"/>
          <w:sz w:val="36"/>
          <w:szCs w:val="36"/>
          <w:u w:val="single"/>
        </w:rPr>
        <w:t>（盖章）</w:t>
      </w:r>
      <w:r>
        <w:rPr>
          <w:rFonts w:hint="eastAsia" w:ascii="仿宋" w:hAnsi="仿宋" w:eastAsia="仿宋" w:cs="仿宋"/>
          <w:color w:val="auto"/>
          <w:sz w:val="36"/>
          <w:szCs w:val="36"/>
          <w:u w:val="single"/>
          <w:lang w:val="en-US" w:eastAsia="zh-CN"/>
        </w:rPr>
        <w:t xml:space="preserve">       </w:t>
      </w:r>
    </w:p>
    <w:p w14:paraId="390B6D95">
      <w:pPr>
        <w:ind w:firstLine="3240" w:firstLineChars="900"/>
        <w:jc w:val="both"/>
        <w:rPr>
          <w:rFonts w:hint="eastAsia" w:ascii="仿宋" w:hAnsi="仿宋" w:eastAsia="仿宋" w:cs="仿宋"/>
          <w:color w:val="auto"/>
          <w:sz w:val="36"/>
          <w:szCs w:val="36"/>
          <w:u w:val="none"/>
          <w:lang w:val="en-US" w:eastAsia="zh-CN"/>
        </w:rPr>
      </w:pPr>
    </w:p>
    <w:p w14:paraId="2B4F80B3">
      <w:pPr>
        <w:ind w:firstLine="3240" w:firstLineChars="900"/>
        <w:jc w:val="both"/>
        <w:rPr>
          <w:rFonts w:hint="eastAsia" w:ascii="仿宋" w:hAnsi="仿宋" w:eastAsia="仿宋" w:cs="仿宋"/>
          <w:color w:val="auto"/>
          <w:sz w:val="36"/>
          <w:szCs w:val="36"/>
          <w:u w:val="single"/>
          <w:lang w:val="en-US" w:eastAsia="zh-CN"/>
        </w:rPr>
      </w:pPr>
      <w:r>
        <w:rPr>
          <w:rFonts w:hint="eastAsia" w:ascii="仿宋" w:hAnsi="仿宋" w:eastAsia="仿宋" w:cs="仿宋"/>
          <w:color w:val="auto"/>
          <w:sz w:val="36"/>
          <w:szCs w:val="36"/>
          <w:u w:val="none"/>
          <w:lang w:val="en-US" w:eastAsia="zh-CN"/>
        </w:rPr>
        <w:t>2025年 5月 15 日</w:t>
      </w:r>
    </w:p>
    <w:p w14:paraId="5CA63965">
      <w:pPr>
        <w:jc w:val="center"/>
        <w:rPr>
          <w:rFonts w:hint="eastAsia" w:ascii="仿宋" w:hAnsi="仿宋" w:eastAsia="仿宋" w:cs="仿宋"/>
          <w:color w:val="auto"/>
          <w:sz w:val="32"/>
          <w:szCs w:val="32"/>
        </w:rPr>
      </w:pPr>
    </w:p>
    <w:p w14:paraId="3E73C35D">
      <w:pPr>
        <w:jc w:val="center"/>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（此页为封面）</w:t>
      </w:r>
    </w:p>
    <w:p w14:paraId="6EBDB22B">
      <w:pPr>
        <w:spacing w:line="560" w:lineRule="exact"/>
        <w:ind w:firstLine="360" w:firstLineChars="100"/>
        <w:jc w:val="center"/>
        <w:rPr>
          <w:rFonts w:hint="eastAsia" w:ascii="仿宋" w:hAnsi="仿宋" w:eastAsia="仿宋" w:cs="仿宋"/>
          <w:color w:val="auto"/>
          <w:sz w:val="36"/>
          <w:szCs w:val="36"/>
          <w:lang w:val="en-US" w:eastAsia="zh-CN"/>
        </w:rPr>
      </w:pPr>
    </w:p>
    <w:p w14:paraId="778DCFD5">
      <w:pPr>
        <w:widowControl/>
        <w:shd w:val="clear" w:color="auto" w:fill="FFFFFF"/>
        <w:spacing w:line="675" w:lineRule="atLeast"/>
        <w:jc w:val="center"/>
        <w:outlineLvl w:val="1"/>
        <w:rPr>
          <w:rFonts w:hint="eastAsia" w:ascii="仿宋" w:hAnsi="仿宋" w:eastAsia="仿宋" w:cs="仿宋"/>
          <w:b/>
          <w:bCs/>
          <w:color w:val="auto"/>
          <w:kern w:val="0"/>
          <w:sz w:val="36"/>
          <w:szCs w:val="36"/>
        </w:rPr>
      </w:pPr>
      <w:r>
        <w:rPr>
          <w:rFonts w:hint="eastAsia" w:ascii="仿宋" w:hAnsi="仿宋" w:eastAsia="仿宋" w:cs="仿宋"/>
          <w:b/>
          <w:bCs/>
          <w:color w:val="auto"/>
          <w:kern w:val="0"/>
          <w:sz w:val="36"/>
          <w:szCs w:val="36"/>
        </w:rPr>
        <w:t>202</w:t>
      </w:r>
      <w:r>
        <w:rPr>
          <w:rFonts w:hint="eastAsia" w:ascii="仿宋" w:hAnsi="仿宋" w:eastAsia="仿宋" w:cs="仿宋"/>
          <w:b/>
          <w:bCs/>
          <w:color w:val="auto"/>
          <w:kern w:val="0"/>
          <w:sz w:val="36"/>
          <w:szCs w:val="36"/>
          <w:lang w:val="en-US" w:eastAsia="zh-CN"/>
        </w:rPr>
        <w:t>4</w:t>
      </w:r>
      <w:r>
        <w:rPr>
          <w:rFonts w:hint="eastAsia" w:ascii="仿宋" w:hAnsi="仿宋" w:eastAsia="仿宋" w:cs="仿宋"/>
          <w:b/>
          <w:bCs/>
          <w:color w:val="auto"/>
          <w:kern w:val="0"/>
          <w:sz w:val="36"/>
          <w:szCs w:val="36"/>
        </w:rPr>
        <w:t>年度益阳市</w:t>
      </w:r>
      <w:r>
        <w:rPr>
          <w:rFonts w:hint="eastAsia" w:ascii="仿宋" w:hAnsi="仿宋" w:eastAsia="仿宋" w:cs="仿宋"/>
          <w:b/>
          <w:bCs/>
          <w:color w:val="auto"/>
          <w:kern w:val="0"/>
          <w:sz w:val="36"/>
          <w:szCs w:val="36"/>
          <w:lang w:eastAsia="zh-CN"/>
        </w:rPr>
        <w:t>资阳区机关事务服务中心</w:t>
      </w:r>
      <w:r>
        <w:rPr>
          <w:rFonts w:hint="eastAsia" w:ascii="仿宋" w:hAnsi="仿宋" w:eastAsia="仿宋" w:cs="仿宋"/>
          <w:b/>
          <w:bCs/>
          <w:color w:val="auto"/>
          <w:kern w:val="0"/>
          <w:sz w:val="36"/>
          <w:szCs w:val="36"/>
        </w:rPr>
        <w:t>整体支出绩效自评报告</w:t>
      </w:r>
    </w:p>
    <w:p w14:paraId="1308E270">
      <w:pPr>
        <w:widowControl/>
        <w:shd w:val="clear" w:color="auto" w:fill="FFFFFF"/>
        <w:spacing w:line="600" w:lineRule="atLeast"/>
        <w:jc w:val="left"/>
        <w:rPr>
          <w:rFonts w:hint="eastAsia" w:ascii="仿宋" w:hAnsi="仿宋" w:eastAsia="仿宋" w:cs="仿宋"/>
          <w:color w:val="auto"/>
          <w:kern w:val="0"/>
          <w:sz w:val="36"/>
          <w:szCs w:val="36"/>
        </w:rPr>
      </w:pPr>
      <w:r>
        <w:rPr>
          <w:rFonts w:hint="eastAsia" w:ascii="仿宋" w:hAnsi="仿宋" w:eastAsia="仿宋" w:cs="仿宋"/>
          <w:color w:val="auto"/>
          <w:kern w:val="0"/>
          <w:sz w:val="36"/>
          <w:szCs w:val="36"/>
        </w:rPr>
        <w:t>  </w:t>
      </w:r>
    </w:p>
    <w:p w14:paraId="0551FA49">
      <w:pPr>
        <w:numPr>
          <w:ilvl w:val="0"/>
          <w:numId w:val="0"/>
        </w:numPr>
        <w:spacing w:line="600" w:lineRule="exact"/>
        <w:rPr>
          <w:rFonts w:hint="eastAsia" w:ascii="仿宋" w:hAnsi="仿宋" w:eastAsia="仿宋" w:cs="仿宋"/>
          <w:b/>
          <w:bCs/>
          <w:color w:val="auto"/>
          <w:kern w:val="0"/>
          <w:sz w:val="30"/>
          <w:szCs w:val="30"/>
        </w:rPr>
      </w:pPr>
      <w:r>
        <w:rPr>
          <w:rFonts w:hint="eastAsia" w:ascii="仿宋" w:hAnsi="仿宋" w:eastAsia="仿宋" w:cs="仿宋"/>
          <w:color w:val="auto"/>
          <w:kern w:val="0"/>
          <w:sz w:val="30"/>
          <w:szCs w:val="30"/>
        </w:rPr>
        <w:t>为进一步加强财政资金绩效管理，提高资金使用效益，根据《益阳市</w:t>
      </w:r>
      <w:r>
        <w:rPr>
          <w:rFonts w:hint="eastAsia" w:ascii="仿宋" w:hAnsi="仿宋" w:eastAsia="仿宋" w:cs="仿宋"/>
          <w:color w:val="auto"/>
          <w:kern w:val="0"/>
          <w:sz w:val="30"/>
          <w:szCs w:val="30"/>
          <w:lang w:eastAsia="zh-CN"/>
        </w:rPr>
        <w:t>资阳区</w:t>
      </w:r>
      <w:r>
        <w:rPr>
          <w:rFonts w:hint="eastAsia" w:ascii="仿宋" w:hAnsi="仿宋" w:eastAsia="仿宋" w:cs="仿宋"/>
          <w:color w:val="auto"/>
          <w:kern w:val="0"/>
          <w:sz w:val="30"/>
          <w:szCs w:val="30"/>
        </w:rPr>
        <w:t>财政局关于开展202</w:t>
      </w:r>
      <w:r>
        <w:rPr>
          <w:rFonts w:hint="eastAsia" w:ascii="仿宋" w:hAnsi="仿宋" w:eastAsia="仿宋" w:cs="仿宋"/>
          <w:color w:val="auto"/>
          <w:kern w:val="0"/>
          <w:sz w:val="30"/>
          <w:szCs w:val="30"/>
          <w:lang w:val="en-US" w:eastAsia="zh-CN"/>
        </w:rPr>
        <w:t>4</w:t>
      </w:r>
      <w:r>
        <w:rPr>
          <w:rFonts w:hint="eastAsia" w:ascii="仿宋" w:hAnsi="仿宋" w:eastAsia="仿宋" w:cs="仿宋"/>
          <w:color w:val="auto"/>
          <w:kern w:val="0"/>
          <w:sz w:val="30"/>
          <w:szCs w:val="30"/>
        </w:rPr>
        <w:t>年度部门绩效自评工作的通知》要求，我单位积极组织，对202</w:t>
      </w:r>
      <w:r>
        <w:rPr>
          <w:rFonts w:hint="eastAsia" w:ascii="仿宋" w:hAnsi="仿宋" w:eastAsia="仿宋" w:cs="仿宋"/>
          <w:color w:val="auto"/>
          <w:kern w:val="0"/>
          <w:sz w:val="30"/>
          <w:szCs w:val="30"/>
          <w:lang w:val="en-US" w:eastAsia="zh-CN"/>
        </w:rPr>
        <w:t>4</w:t>
      </w:r>
      <w:r>
        <w:rPr>
          <w:rFonts w:hint="eastAsia" w:ascii="仿宋" w:hAnsi="仿宋" w:eastAsia="仿宋" w:cs="仿宋"/>
          <w:color w:val="auto"/>
          <w:kern w:val="0"/>
          <w:sz w:val="30"/>
          <w:szCs w:val="30"/>
        </w:rPr>
        <w:t>年部门整体支出情况进行了绩效自评，现将有关情况报告如下：</w:t>
      </w:r>
    </w:p>
    <w:p w14:paraId="16D13045">
      <w:pPr>
        <w:widowControl/>
        <w:autoSpaceDN w:val="0"/>
        <w:spacing w:line="540" w:lineRule="exact"/>
        <w:rPr>
          <w:rFonts w:ascii="黑体" w:hAnsi="黑体" w:eastAsia="黑体" w:cs="宋体"/>
          <w:color w:val="auto"/>
          <w:kern w:val="0"/>
          <w:sz w:val="32"/>
          <w:szCs w:val="32"/>
        </w:rPr>
      </w:pPr>
      <w:r>
        <w:rPr>
          <w:rFonts w:hint="eastAsia" w:ascii="黑体" w:hAnsi="黑体" w:eastAsia="黑体" w:cs="宋体"/>
          <w:color w:val="auto"/>
          <w:kern w:val="0"/>
          <w:sz w:val="32"/>
          <w:szCs w:val="32"/>
        </w:rPr>
        <w:t>一、部门概况</w:t>
      </w:r>
    </w:p>
    <w:p w14:paraId="5F9A9D1B">
      <w:pPr>
        <w:widowControl/>
        <w:shd w:val="clear" w:color="auto" w:fill="FFFFFF"/>
        <w:spacing w:line="600" w:lineRule="atLeast"/>
        <w:jc w:val="left"/>
        <w:rPr>
          <w:rFonts w:hint="eastAsia" w:ascii="仿宋" w:hAnsi="仿宋" w:eastAsia="仿宋" w:cs="仿宋"/>
          <w:b/>
          <w:bCs/>
          <w:color w:val="auto"/>
          <w:kern w:val="0"/>
          <w:sz w:val="30"/>
          <w:szCs w:val="30"/>
        </w:rPr>
      </w:pPr>
      <w:r>
        <w:rPr>
          <w:rFonts w:hint="eastAsia" w:ascii="仿宋" w:hAnsi="仿宋" w:eastAsia="仿宋" w:cs="仿宋"/>
          <w:b/>
          <w:bCs/>
          <w:color w:val="auto"/>
          <w:kern w:val="0"/>
          <w:sz w:val="30"/>
          <w:szCs w:val="30"/>
        </w:rPr>
        <w:t>（一）部门职能</w:t>
      </w:r>
    </w:p>
    <w:p w14:paraId="297E697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color w:val="auto"/>
          <w:sz w:val="32"/>
          <w:szCs w:val="32"/>
        </w:rPr>
      </w:pPr>
      <w:r>
        <w:rPr>
          <w:rFonts w:hint="eastAsia" w:hAnsi="仿宋_GB2312" w:cs="仿宋_GB2312"/>
          <w:color w:val="auto"/>
          <w:sz w:val="32"/>
          <w:szCs w:val="32"/>
          <w:lang w:val="en-US" w:eastAsia="zh-CN"/>
        </w:rPr>
        <w:t>1、</w:t>
      </w:r>
      <w:r>
        <w:rPr>
          <w:rFonts w:hint="eastAsia" w:ascii="仿宋_GB2312" w:hAnsi="仿宋_GB2312" w:eastAsia="仿宋_GB2312" w:cs="仿宋_GB2312"/>
          <w:color w:val="auto"/>
          <w:sz w:val="32"/>
          <w:szCs w:val="32"/>
        </w:rPr>
        <w:t>综合协调机关正常运转，负责机关文电、会务、机要、保密、宣传信息、政务公开</w:t>
      </w:r>
      <w:r>
        <w:rPr>
          <w:rFonts w:hint="eastAsia" w:hAnsi="仿宋_GB2312" w:cs="仿宋_GB2312"/>
          <w:color w:val="auto"/>
          <w:sz w:val="32"/>
          <w:szCs w:val="32"/>
          <w:lang w:eastAsia="zh-CN"/>
        </w:rPr>
        <w:t>、</w:t>
      </w:r>
      <w:r>
        <w:rPr>
          <w:rFonts w:hint="eastAsia" w:ascii="仿宋_GB2312" w:hAnsi="仿宋_GB2312" w:eastAsia="仿宋_GB2312" w:cs="仿宋_GB2312"/>
          <w:color w:val="auto"/>
          <w:sz w:val="32"/>
          <w:szCs w:val="32"/>
        </w:rPr>
        <w:t>政工人事等日常工作；</w:t>
      </w:r>
    </w:p>
    <w:p w14:paraId="72C9973B">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color w:val="auto"/>
          <w:sz w:val="32"/>
          <w:szCs w:val="32"/>
          <w:lang w:eastAsia="zh-CN"/>
        </w:rPr>
      </w:pPr>
      <w:r>
        <w:rPr>
          <w:rFonts w:hint="eastAsia" w:hAnsi="仿宋_GB2312" w:cs="仿宋_GB2312"/>
          <w:color w:val="auto"/>
          <w:sz w:val="32"/>
          <w:szCs w:val="32"/>
          <w:lang w:val="en-US" w:eastAsia="zh-CN"/>
        </w:rPr>
        <w:t>2、</w:t>
      </w:r>
      <w:r>
        <w:rPr>
          <w:rFonts w:hint="eastAsia" w:ascii="仿宋_GB2312" w:hAnsi="仿宋_GB2312" w:eastAsia="仿宋_GB2312" w:cs="仿宋_GB2312"/>
          <w:color w:val="auto"/>
          <w:sz w:val="32"/>
          <w:szCs w:val="32"/>
        </w:rPr>
        <w:t>负责区委区政府机关大院物业服务的综合管理，组织实施供水、供电、网络通讯等公用设施维修和园林绿化等工作</w:t>
      </w:r>
      <w:r>
        <w:rPr>
          <w:rFonts w:hint="eastAsia" w:hAnsi="仿宋_GB2312" w:cs="仿宋_GB2312"/>
          <w:color w:val="auto"/>
          <w:sz w:val="32"/>
          <w:szCs w:val="32"/>
          <w:lang w:eastAsia="zh-CN"/>
        </w:rPr>
        <w:t>，</w:t>
      </w:r>
      <w:r>
        <w:rPr>
          <w:rFonts w:hint="eastAsia" w:ascii="仿宋_GB2312" w:hAnsi="仿宋_GB2312" w:eastAsia="仿宋_GB2312" w:cs="仿宋_GB2312"/>
          <w:color w:val="auto"/>
          <w:sz w:val="32"/>
          <w:szCs w:val="32"/>
        </w:rPr>
        <w:t>负责机关大院食堂的日常管理工作</w:t>
      </w:r>
      <w:r>
        <w:rPr>
          <w:rFonts w:hint="eastAsia" w:hAnsi="仿宋_GB2312" w:cs="仿宋_GB2312"/>
          <w:color w:val="auto"/>
          <w:sz w:val="32"/>
          <w:szCs w:val="32"/>
          <w:lang w:eastAsia="zh-CN"/>
        </w:rPr>
        <w:t>；</w:t>
      </w:r>
    </w:p>
    <w:p w14:paraId="5937DCB9">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color w:val="auto"/>
          <w:sz w:val="32"/>
          <w:szCs w:val="32"/>
          <w:lang w:eastAsia="zh-CN"/>
        </w:rPr>
      </w:pPr>
      <w:r>
        <w:rPr>
          <w:rFonts w:hint="eastAsia" w:hAnsi="仿宋_GB2312" w:cs="仿宋_GB2312"/>
          <w:color w:val="auto"/>
          <w:sz w:val="32"/>
          <w:szCs w:val="32"/>
          <w:lang w:val="en-US" w:eastAsia="zh-CN"/>
        </w:rPr>
        <w:t>3、对</w:t>
      </w:r>
      <w:r>
        <w:rPr>
          <w:rFonts w:hint="eastAsia" w:ascii="仿宋_GB2312" w:hAnsi="仿宋_GB2312" w:eastAsia="仿宋_GB2312" w:cs="仿宋_GB2312"/>
          <w:color w:val="auto"/>
          <w:sz w:val="32"/>
          <w:szCs w:val="32"/>
        </w:rPr>
        <w:t>全区机关事业单位办公用房管理，承担办公用房（含附属设施）的权属、调剂、使用监管、资产处置、统计</w:t>
      </w:r>
      <w:r>
        <w:rPr>
          <w:rFonts w:hint="eastAsia" w:hAnsi="仿宋_GB2312" w:cs="仿宋_GB2312"/>
          <w:color w:val="auto"/>
          <w:sz w:val="32"/>
          <w:szCs w:val="32"/>
          <w:lang w:eastAsia="zh-CN"/>
        </w:rPr>
        <w:t>，</w:t>
      </w:r>
      <w:r>
        <w:rPr>
          <w:rFonts w:hint="eastAsia" w:ascii="仿宋_GB2312" w:hAnsi="仿宋_GB2312" w:eastAsia="仿宋_GB2312" w:cs="仿宋_GB2312"/>
          <w:color w:val="auto"/>
          <w:sz w:val="32"/>
          <w:szCs w:val="32"/>
        </w:rPr>
        <w:t>办公用房权证管理</w:t>
      </w:r>
      <w:r>
        <w:rPr>
          <w:rFonts w:hint="eastAsia" w:hAnsi="仿宋_GB2312" w:cs="仿宋_GB2312"/>
          <w:color w:val="auto"/>
          <w:sz w:val="32"/>
          <w:szCs w:val="32"/>
          <w:lang w:eastAsia="zh-CN"/>
        </w:rPr>
        <w:t>；</w:t>
      </w:r>
    </w:p>
    <w:p w14:paraId="198BA91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color w:val="auto"/>
          <w:sz w:val="32"/>
          <w:szCs w:val="32"/>
          <w:lang w:eastAsia="zh-CN"/>
        </w:rPr>
      </w:pPr>
      <w:r>
        <w:rPr>
          <w:rFonts w:hint="eastAsia" w:hAnsi="仿宋_GB2312" w:cs="仿宋_GB2312"/>
          <w:color w:val="auto"/>
          <w:sz w:val="32"/>
          <w:szCs w:val="32"/>
          <w:lang w:val="en-US" w:eastAsia="zh-CN"/>
        </w:rPr>
        <w:t>4、对</w:t>
      </w:r>
      <w:r>
        <w:rPr>
          <w:rFonts w:hint="eastAsia" w:ascii="仿宋_GB2312" w:hAnsi="仿宋_GB2312" w:eastAsia="仿宋_GB2312" w:cs="仿宋_GB2312"/>
          <w:color w:val="auto"/>
          <w:sz w:val="32"/>
          <w:szCs w:val="32"/>
        </w:rPr>
        <w:t>全区党政机关、事业单位公务车辆的编制管理，</w:t>
      </w:r>
      <w:r>
        <w:rPr>
          <w:rFonts w:hint="eastAsia" w:hAnsi="仿宋_GB2312" w:cs="仿宋_GB2312"/>
          <w:color w:val="auto"/>
          <w:sz w:val="32"/>
          <w:szCs w:val="32"/>
          <w:lang w:eastAsia="zh-CN"/>
        </w:rPr>
        <w:t>负责</w:t>
      </w:r>
      <w:r>
        <w:rPr>
          <w:rFonts w:hint="eastAsia" w:ascii="仿宋_GB2312" w:hAnsi="仿宋_GB2312" w:eastAsia="仿宋_GB2312" w:cs="仿宋_GB2312"/>
          <w:color w:val="auto"/>
          <w:sz w:val="32"/>
          <w:szCs w:val="32"/>
        </w:rPr>
        <w:t>全区党政机关、事业单位公务车辆的配备、更新、调拨、调剂、委托、报废</w:t>
      </w:r>
      <w:r>
        <w:rPr>
          <w:rFonts w:hint="eastAsia" w:hAnsi="仿宋_GB2312" w:cs="仿宋_GB2312"/>
          <w:color w:val="auto"/>
          <w:sz w:val="32"/>
          <w:szCs w:val="32"/>
          <w:lang w:eastAsia="zh-CN"/>
        </w:rPr>
        <w:t>工作；</w:t>
      </w:r>
    </w:p>
    <w:p w14:paraId="48F7AE99">
      <w:pPr>
        <w:spacing w:line="600" w:lineRule="exact"/>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5</w:t>
      </w:r>
      <w:r>
        <w:rPr>
          <w:rFonts w:hint="eastAsia" w:ascii="仿宋" w:hAnsi="仿宋" w:eastAsia="仿宋" w:cs="仿宋"/>
          <w:color w:val="auto"/>
          <w:sz w:val="30"/>
          <w:szCs w:val="30"/>
        </w:rPr>
        <w:t xml:space="preserve">、完成区委、区政府交办的其他任务。 </w:t>
      </w:r>
    </w:p>
    <w:p w14:paraId="5CDAB45F">
      <w:pPr>
        <w:widowControl/>
        <w:shd w:val="clear" w:color="auto" w:fill="FFFFFF"/>
        <w:spacing w:line="600" w:lineRule="atLeast"/>
        <w:ind w:firstLine="640"/>
        <w:jc w:val="left"/>
        <w:rPr>
          <w:rFonts w:hint="eastAsia" w:ascii="仿宋" w:hAnsi="仿宋" w:eastAsia="仿宋" w:cs="仿宋"/>
          <w:b/>
          <w:bCs/>
          <w:color w:val="auto"/>
          <w:kern w:val="0"/>
          <w:sz w:val="30"/>
          <w:szCs w:val="30"/>
        </w:rPr>
      </w:pPr>
      <w:r>
        <w:rPr>
          <w:rFonts w:hint="eastAsia" w:ascii="仿宋" w:hAnsi="仿宋" w:eastAsia="仿宋" w:cs="仿宋"/>
          <w:b/>
          <w:bCs/>
          <w:color w:val="auto"/>
          <w:kern w:val="0"/>
          <w:sz w:val="30"/>
          <w:szCs w:val="30"/>
        </w:rPr>
        <w:t>（二）部门机构设置</w:t>
      </w:r>
    </w:p>
    <w:p w14:paraId="2288D628">
      <w:pPr>
        <w:rPr>
          <w:rFonts w:hint="eastAsia" w:eastAsia="仿宋_GB2312"/>
          <w:color w:val="auto"/>
          <w:lang w:val="en-US" w:eastAsia="zh-CN"/>
        </w:rPr>
      </w:pPr>
      <w:r>
        <w:rPr>
          <w:rFonts w:hint="eastAsia" w:ascii="仿宋" w:hAnsi="仿宋" w:eastAsia="仿宋" w:cs="仿宋"/>
          <w:color w:val="auto"/>
          <w:kern w:val="1"/>
          <w:sz w:val="30"/>
          <w:szCs w:val="30"/>
        </w:rPr>
        <w:t>我中心是区政府</w:t>
      </w:r>
      <w:r>
        <w:rPr>
          <w:rFonts w:hint="eastAsia" w:ascii="仿宋" w:hAnsi="仿宋" w:eastAsia="仿宋" w:cs="仿宋"/>
          <w:color w:val="auto"/>
          <w:kern w:val="1"/>
          <w:sz w:val="30"/>
          <w:szCs w:val="30"/>
          <w:lang w:val="en-US" w:eastAsia="zh-CN"/>
        </w:rPr>
        <w:t>主管理的</w:t>
      </w:r>
      <w:r>
        <w:rPr>
          <w:rFonts w:hint="eastAsia" w:ascii="仿宋" w:hAnsi="仿宋" w:eastAsia="仿宋" w:cs="仿宋"/>
          <w:color w:val="auto"/>
          <w:kern w:val="1"/>
          <w:sz w:val="30"/>
          <w:szCs w:val="30"/>
        </w:rPr>
        <w:t>的正科级全额拨款</w:t>
      </w:r>
      <w:r>
        <w:rPr>
          <w:rFonts w:hint="eastAsia" w:ascii="仿宋" w:hAnsi="仿宋" w:eastAsia="仿宋" w:cs="仿宋"/>
          <w:color w:val="auto"/>
          <w:kern w:val="1"/>
          <w:sz w:val="30"/>
          <w:szCs w:val="30"/>
          <w:lang w:eastAsia="zh-CN"/>
        </w:rPr>
        <w:t>行政</w:t>
      </w:r>
      <w:r>
        <w:rPr>
          <w:rFonts w:hint="eastAsia" w:ascii="仿宋" w:hAnsi="仿宋" w:eastAsia="仿宋" w:cs="仿宋"/>
          <w:color w:val="auto"/>
          <w:kern w:val="1"/>
          <w:sz w:val="30"/>
          <w:szCs w:val="30"/>
        </w:rPr>
        <w:t>单位，主要承担</w:t>
      </w:r>
      <w:r>
        <w:rPr>
          <w:rFonts w:hint="eastAsia" w:ascii="仿宋" w:hAnsi="仿宋" w:eastAsia="仿宋" w:cs="仿宋"/>
          <w:color w:val="auto"/>
          <w:kern w:val="1"/>
          <w:sz w:val="30"/>
          <w:szCs w:val="30"/>
          <w:lang w:eastAsia="zh-CN"/>
        </w:rPr>
        <w:t>区机关内相关</w:t>
      </w:r>
      <w:r>
        <w:rPr>
          <w:rFonts w:hint="eastAsia" w:ascii="仿宋" w:hAnsi="仿宋" w:eastAsia="仿宋" w:cs="仿宋"/>
          <w:color w:val="auto"/>
          <w:kern w:val="1"/>
          <w:sz w:val="30"/>
          <w:szCs w:val="30"/>
        </w:rPr>
        <w:t>管理职能，下设</w:t>
      </w:r>
      <w:r>
        <w:rPr>
          <w:rFonts w:hint="eastAsia"/>
          <w:color w:val="auto"/>
          <w:lang w:val="en-US" w:eastAsia="zh-CN"/>
        </w:rPr>
        <w:t>办公室、物业股、办公用房股，公车服务中心。</w:t>
      </w:r>
    </w:p>
    <w:p w14:paraId="10CCBDB3">
      <w:pPr>
        <w:spacing w:line="600" w:lineRule="exact"/>
        <w:ind w:firstLine="643"/>
        <w:rPr>
          <w:rFonts w:hint="eastAsia" w:ascii="仿宋" w:hAnsi="仿宋" w:eastAsia="仿宋" w:cs="仿宋"/>
          <w:color w:val="auto"/>
          <w:kern w:val="1"/>
          <w:sz w:val="30"/>
          <w:szCs w:val="30"/>
          <w:lang w:val="en-US" w:eastAsia="zh-CN"/>
        </w:rPr>
      </w:pPr>
    </w:p>
    <w:p w14:paraId="28468E04">
      <w:pPr>
        <w:widowControl/>
        <w:shd w:val="clear" w:color="auto" w:fill="FFFFFF"/>
        <w:spacing w:line="600" w:lineRule="atLeast"/>
        <w:ind w:firstLine="640"/>
        <w:jc w:val="left"/>
        <w:rPr>
          <w:rFonts w:hint="eastAsia" w:ascii="仿宋" w:hAnsi="仿宋" w:eastAsia="仿宋" w:cs="仿宋"/>
          <w:b/>
          <w:bCs/>
          <w:color w:val="auto"/>
          <w:kern w:val="0"/>
          <w:sz w:val="30"/>
          <w:szCs w:val="30"/>
        </w:rPr>
      </w:pPr>
      <w:r>
        <w:rPr>
          <w:rFonts w:hint="eastAsia" w:ascii="仿宋" w:hAnsi="仿宋" w:eastAsia="仿宋" w:cs="仿宋"/>
          <w:b/>
          <w:bCs/>
          <w:color w:val="auto"/>
          <w:kern w:val="0"/>
          <w:sz w:val="30"/>
          <w:szCs w:val="30"/>
        </w:rPr>
        <w:t>（三）部门人员编制</w:t>
      </w:r>
    </w:p>
    <w:p w14:paraId="6CCA61BB">
      <w:pPr>
        <w:pStyle w:val="2"/>
        <w:numPr>
          <w:ilvl w:val="0"/>
          <w:numId w:val="0"/>
        </w:numPr>
        <w:rPr>
          <w:rFonts w:hint="eastAsia" w:ascii="仿宋" w:hAnsi="仿宋" w:eastAsia="仿宋" w:cs="仿宋"/>
          <w:color w:val="auto"/>
          <w:kern w:val="0"/>
          <w:sz w:val="30"/>
          <w:szCs w:val="30"/>
        </w:rPr>
      </w:pPr>
      <w:r>
        <w:rPr>
          <w:rFonts w:hint="eastAsia" w:ascii="仿宋" w:hAnsi="仿宋" w:eastAsia="仿宋" w:cs="仿宋"/>
          <w:color w:val="auto"/>
          <w:kern w:val="0"/>
          <w:sz w:val="30"/>
          <w:szCs w:val="30"/>
          <w:lang w:eastAsia="zh-CN"/>
        </w:rPr>
        <w:t>202</w:t>
      </w:r>
      <w:r>
        <w:rPr>
          <w:rFonts w:hint="eastAsia" w:ascii="仿宋" w:hAnsi="仿宋" w:eastAsia="仿宋" w:cs="仿宋"/>
          <w:color w:val="auto"/>
          <w:kern w:val="0"/>
          <w:sz w:val="30"/>
          <w:szCs w:val="30"/>
          <w:lang w:val="en-US" w:eastAsia="zh-CN"/>
        </w:rPr>
        <w:t>4</w:t>
      </w:r>
      <w:r>
        <w:rPr>
          <w:rFonts w:hint="eastAsia" w:ascii="仿宋" w:hAnsi="仿宋" w:eastAsia="仿宋" w:cs="仿宋"/>
          <w:color w:val="auto"/>
          <w:kern w:val="0"/>
          <w:sz w:val="30"/>
          <w:szCs w:val="30"/>
          <w:lang w:eastAsia="zh-CN"/>
        </w:rPr>
        <w:t>年</w:t>
      </w:r>
      <w:r>
        <w:rPr>
          <w:rFonts w:hint="eastAsia" w:ascii="仿宋" w:hAnsi="仿宋" w:eastAsia="仿宋" w:cs="仿宋"/>
          <w:color w:val="auto"/>
          <w:kern w:val="0"/>
          <w:sz w:val="30"/>
          <w:szCs w:val="30"/>
        </w:rPr>
        <w:t>末实有在职人数</w:t>
      </w:r>
      <w:r>
        <w:rPr>
          <w:rFonts w:hint="eastAsia" w:ascii="仿宋" w:hAnsi="仿宋" w:eastAsia="仿宋" w:cs="仿宋"/>
          <w:color w:val="auto"/>
          <w:kern w:val="0"/>
          <w:sz w:val="30"/>
          <w:szCs w:val="30"/>
          <w:lang w:val="en-US" w:eastAsia="zh-CN"/>
        </w:rPr>
        <w:t>13</w:t>
      </w:r>
      <w:r>
        <w:rPr>
          <w:rFonts w:hint="eastAsia" w:ascii="仿宋" w:hAnsi="仿宋" w:eastAsia="仿宋" w:cs="仿宋"/>
          <w:color w:val="auto"/>
          <w:kern w:val="0"/>
          <w:sz w:val="30"/>
          <w:szCs w:val="30"/>
        </w:rPr>
        <w:t>人</w:t>
      </w:r>
    </w:p>
    <w:p w14:paraId="4D0D7177">
      <w:pPr>
        <w:pStyle w:val="2"/>
        <w:numPr>
          <w:ilvl w:val="0"/>
          <w:numId w:val="1"/>
        </w:numPr>
        <w:rPr>
          <w:rFonts w:hint="eastAsia" w:ascii="仿宋_GB2312" w:hAnsi="仿宋_GB2312" w:eastAsia="仿宋_GB2312" w:cs="仿宋_GB2312"/>
          <w:b/>
          <w:bCs/>
          <w:color w:val="auto"/>
          <w:kern w:val="0"/>
          <w:sz w:val="32"/>
          <w:szCs w:val="32"/>
          <w:lang w:val="en-US" w:eastAsia="zh-CN" w:bidi="ar-SA"/>
        </w:rPr>
      </w:pPr>
      <w:r>
        <w:rPr>
          <w:rFonts w:hint="eastAsia" w:ascii="仿宋_GB2312" w:hAnsi="仿宋_GB2312" w:eastAsia="仿宋_GB2312" w:cs="仿宋_GB2312"/>
          <w:b/>
          <w:bCs/>
          <w:color w:val="auto"/>
          <w:kern w:val="0"/>
          <w:sz w:val="32"/>
          <w:szCs w:val="32"/>
          <w:lang w:val="en-US" w:eastAsia="zh-CN" w:bidi="ar-SA"/>
        </w:rPr>
        <w:t>简要介绍202</w:t>
      </w:r>
      <w:r>
        <w:rPr>
          <w:rFonts w:hint="eastAsia" w:ascii="仿宋_GB2312" w:hAnsi="仿宋_GB2312" w:cs="仿宋_GB2312"/>
          <w:b/>
          <w:bCs/>
          <w:color w:val="auto"/>
          <w:kern w:val="0"/>
          <w:sz w:val="32"/>
          <w:szCs w:val="32"/>
          <w:lang w:val="en-US" w:eastAsia="zh-CN" w:bidi="ar-SA"/>
        </w:rPr>
        <w:t>4</w:t>
      </w:r>
      <w:r>
        <w:rPr>
          <w:rFonts w:hint="eastAsia" w:ascii="仿宋_GB2312" w:hAnsi="仿宋_GB2312" w:eastAsia="仿宋_GB2312" w:cs="仿宋_GB2312"/>
          <w:b/>
          <w:bCs/>
          <w:color w:val="auto"/>
          <w:kern w:val="0"/>
          <w:sz w:val="32"/>
          <w:szCs w:val="32"/>
          <w:lang w:val="en-US" w:eastAsia="zh-CN" w:bidi="ar-SA"/>
        </w:rPr>
        <w:t>年度重点工作计划；</w:t>
      </w:r>
    </w:p>
    <w:p w14:paraId="18456587">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楷体" w:hAnsi="楷体" w:eastAsia="楷体" w:cs="楷体"/>
          <w:color w:val="auto"/>
          <w:sz w:val="32"/>
          <w:szCs w:val="32"/>
          <w:lang w:eastAsia="zh-CN"/>
        </w:rPr>
      </w:pPr>
      <w:r>
        <w:rPr>
          <w:rFonts w:hint="eastAsia" w:ascii="楷体" w:hAnsi="楷体" w:eastAsia="楷体" w:cs="楷体"/>
          <w:color w:val="auto"/>
          <w:sz w:val="32"/>
          <w:szCs w:val="32"/>
        </w:rPr>
        <w:t>聚焦主责主业，机关事务的保障作用更加突出</w:t>
      </w:r>
      <w:r>
        <w:rPr>
          <w:rFonts w:hint="eastAsia" w:ascii="楷体" w:hAnsi="楷体" w:eastAsia="楷体" w:cs="楷体"/>
          <w:color w:val="auto"/>
          <w:sz w:val="32"/>
          <w:szCs w:val="32"/>
          <w:lang w:eastAsia="zh-CN"/>
        </w:rPr>
        <w:t>。</w:t>
      </w:r>
      <w:r>
        <w:rPr>
          <w:rFonts w:hint="eastAsia" w:ascii="仿宋" w:hAnsi="仿宋" w:eastAsia="仿宋" w:cs="仿宋"/>
          <w:color w:val="auto"/>
          <w:sz w:val="32"/>
          <w:szCs w:val="32"/>
        </w:rPr>
        <w:t>今年以来，中心坚持抓住“服务保障”这个机关事务部门的核心职能，“围绕中心、服务大局”的作用愈加显著。</w:t>
      </w:r>
      <w:r>
        <w:rPr>
          <w:rFonts w:hint="eastAsia" w:ascii="仿宋" w:hAnsi="仿宋" w:eastAsia="仿宋" w:cs="仿宋"/>
          <w:b/>
          <w:bCs/>
          <w:color w:val="auto"/>
          <w:sz w:val="32"/>
          <w:szCs w:val="32"/>
          <w:lang w:eastAsia="zh-CN"/>
        </w:rPr>
        <w:t>一</w:t>
      </w:r>
      <w:r>
        <w:rPr>
          <w:rFonts w:hint="eastAsia" w:ascii="仿宋" w:hAnsi="仿宋" w:eastAsia="仿宋" w:cs="仿宋"/>
          <w:b/>
          <w:bCs/>
          <w:color w:val="auto"/>
          <w:sz w:val="32"/>
          <w:szCs w:val="32"/>
        </w:rPr>
        <w:t>是细心服务，做优服务特色</w:t>
      </w:r>
      <w:r>
        <w:rPr>
          <w:rFonts w:hint="eastAsia" w:ascii="仿宋" w:hAnsi="仿宋" w:eastAsia="仿宋" w:cs="仿宋"/>
          <w:b/>
          <w:bCs/>
          <w:color w:val="auto"/>
          <w:sz w:val="32"/>
          <w:szCs w:val="32"/>
          <w:lang w:eastAsia="zh-CN"/>
        </w:rPr>
        <w:t>，机关大院</w:t>
      </w:r>
      <w:r>
        <w:rPr>
          <w:rFonts w:hint="eastAsia" w:ascii="仿宋" w:hAnsi="仿宋" w:eastAsia="仿宋" w:cs="仿宋"/>
          <w:b/>
          <w:bCs/>
          <w:color w:val="auto"/>
          <w:sz w:val="32"/>
          <w:szCs w:val="32"/>
        </w:rPr>
        <w:t>后勤保障更加精准。</w:t>
      </w:r>
      <w:r>
        <w:rPr>
          <w:rFonts w:hint="eastAsia" w:ascii="仿宋" w:hAnsi="仿宋" w:eastAsia="仿宋" w:cs="仿宋"/>
          <w:color w:val="auto"/>
          <w:sz w:val="32"/>
          <w:szCs w:val="32"/>
        </w:rPr>
        <w:t>实行错时施工，利用节假日及8小时外时间开展施工</w:t>
      </w:r>
      <w:r>
        <w:rPr>
          <w:rFonts w:hint="eastAsia" w:ascii="仿宋" w:hAnsi="仿宋" w:eastAsia="仿宋" w:cs="仿宋"/>
          <w:color w:val="auto"/>
          <w:sz w:val="32"/>
          <w:szCs w:val="32"/>
          <w:lang w:eastAsia="zh-CN"/>
        </w:rPr>
        <w:t>维修</w:t>
      </w:r>
      <w:r>
        <w:rPr>
          <w:rFonts w:hint="eastAsia" w:ascii="仿宋" w:hAnsi="仿宋" w:eastAsia="仿宋" w:cs="仿宋"/>
          <w:color w:val="auto"/>
          <w:sz w:val="32"/>
          <w:szCs w:val="32"/>
        </w:rPr>
        <w:t>，完成下水清理、应急用电、零星维修等工作，通过无音施工，现场清洁等一系列“不打扰”操作</w:t>
      </w:r>
      <w:r>
        <w:rPr>
          <w:rFonts w:hint="eastAsia" w:ascii="仿宋" w:hAnsi="仿宋" w:eastAsia="仿宋" w:cs="仿宋"/>
          <w:color w:val="auto"/>
          <w:sz w:val="32"/>
          <w:szCs w:val="32"/>
          <w:lang w:eastAsia="zh-CN"/>
        </w:rPr>
        <w:t>保证</w:t>
      </w:r>
      <w:r>
        <w:rPr>
          <w:rFonts w:hint="eastAsia" w:ascii="仿宋" w:hAnsi="仿宋" w:eastAsia="仿宋" w:cs="仿宋"/>
          <w:color w:val="auto"/>
          <w:sz w:val="32"/>
          <w:szCs w:val="32"/>
        </w:rPr>
        <w:t>办公环境整体提升。深入推进平安建设和法治政府建设，</w:t>
      </w:r>
      <w:r>
        <w:rPr>
          <w:rFonts w:hint="eastAsia" w:ascii="仿宋" w:hAnsi="仿宋" w:eastAsia="仿宋" w:cs="仿宋"/>
          <w:color w:val="auto"/>
          <w:sz w:val="32"/>
          <w:szCs w:val="32"/>
          <w:lang w:eastAsia="zh-CN"/>
        </w:rPr>
        <w:t>加强安保巡查</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利用天网系统，</w:t>
      </w:r>
      <w:r>
        <w:rPr>
          <w:rFonts w:hint="eastAsia" w:ascii="仿宋" w:hAnsi="仿宋" w:eastAsia="仿宋" w:cs="仿宋"/>
          <w:color w:val="auto"/>
          <w:sz w:val="32"/>
          <w:szCs w:val="32"/>
        </w:rPr>
        <w:t>实现24小时全方位</w:t>
      </w:r>
      <w:r>
        <w:rPr>
          <w:rFonts w:hint="eastAsia" w:ascii="仿宋" w:hAnsi="仿宋" w:eastAsia="仿宋" w:cs="仿宋"/>
          <w:color w:val="auto"/>
          <w:sz w:val="32"/>
          <w:szCs w:val="32"/>
          <w:lang w:eastAsia="zh-CN"/>
        </w:rPr>
        <w:t>机关院内的</w:t>
      </w:r>
      <w:r>
        <w:rPr>
          <w:rFonts w:hint="eastAsia" w:ascii="仿宋" w:hAnsi="仿宋" w:eastAsia="仿宋" w:cs="仿宋"/>
          <w:color w:val="auto"/>
          <w:sz w:val="32"/>
          <w:szCs w:val="32"/>
        </w:rPr>
        <w:t>监控，安保人员执行每</w:t>
      </w:r>
      <w:r>
        <w:rPr>
          <w:rFonts w:hint="eastAsia" w:ascii="仿宋" w:hAnsi="仿宋" w:eastAsia="仿宋" w:cs="仿宋"/>
          <w:color w:val="auto"/>
          <w:sz w:val="32"/>
          <w:szCs w:val="32"/>
          <w:lang w:val="en-US" w:eastAsia="zh-CN"/>
        </w:rPr>
        <w:t>2小</w:t>
      </w:r>
      <w:r>
        <w:rPr>
          <w:rFonts w:hint="eastAsia" w:ascii="仿宋" w:hAnsi="仿宋" w:eastAsia="仿宋" w:cs="仿宋"/>
          <w:color w:val="auto"/>
          <w:sz w:val="32"/>
          <w:szCs w:val="32"/>
        </w:rPr>
        <w:t>时对大楼</w:t>
      </w:r>
      <w:r>
        <w:rPr>
          <w:rFonts w:hint="eastAsia" w:ascii="仿宋" w:hAnsi="仿宋" w:eastAsia="仿宋" w:cs="仿宋"/>
          <w:color w:val="auto"/>
          <w:sz w:val="32"/>
          <w:szCs w:val="32"/>
          <w:lang w:eastAsia="zh-CN"/>
        </w:rPr>
        <w:t>、家属区</w:t>
      </w:r>
      <w:r>
        <w:rPr>
          <w:rFonts w:hint="eastAsia" w:ascii="仿宋" w:hAnsi="仿宋" w:eastAsia="仿宋" w:cs="仿宋"/>
          <w:color w:val="auto"/>
          <w:sz w:val="32"/>
          <w:szCs w:val="32"/>
        </w:rPr>
        <w:t>各区域进行巡查，落实上访应对、</w:t>
      </w:r>
      <w:r>
        <w:rPr>
          <w:rFonts w:hint="eastAsia" w:ascii="仿宋" w:hAnsi="仿宋" w:eastAsia="仿宋" w:cs="仿宋"/>
          <w:color w:val="auto"/>
          <w:sz w:val="32"/>
          <w:szCs w:val="32"/>
          <w:lang w:eastAsia="zh-CN"/>
        </w:rPr>
        <w:t>出入口</w:t>
      </w:r>
      <w:r>
        <w:rPr>
          <w:rFonts w:hint="eastAsia" w:ascii="仿宋" w:hAnsi="仿宋" w:eastAsia="仿宋" w:cs="仿宋"/>
          <w:color w:val="auto"/>
          <w:sz w:val="32"/>
          <w:szCs w:val="32"/>
        </w:rPr>
        <w:t>通车管理措施，确保人员车辆出入有序</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着力打造平安</w:t>
      </w:r>
      <w:r>
        <w:rPr>
          <w:rFonts w:hint="eastAsia" w:ascii="仿宋" w:hAnsi="仿宋" w:eastAsia="仿宋" w:cs="仿宋"/>
          <w:color w:val="auto"/>
          <w:sz w:val="32"/>
          <w:szCs w:val="32"/>
          <w:lang w:eastAsia="zh-CN"/>
        </w:rPr>
        <w:t>院落</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对</w:t>
      </w:r>
      <w:r>
        <w:rPr>
          <w:rFonts w:hint="eastAsia" w:ascii="仿宋" w:hAnsi="仿宋" w:eastAsia="仿宋" w:cs="仿宋"/>
          <w:color w:val="auto"/>
          <w:sz w:val="32"/>
          <w:szCs w:val="32"/>
        </w:rPr>
        <w:t>电路、</w:t>
      </w:r>
      <w:r>
        <w:rPr>
          <w:rFonts w:hint="eastAsia" w:ascii="仿宋" w:hAnsi="仿宋" w:eastAsia="仿宋" w:cs="仿宋"/>
          <w:color w:val="auto"/>
          <w:sz w:val="32"/>
          <w:szCs w:val="32"/>
          <w:lang w:eastAsia="zh-CN"/>
        </w:rPr>
        <w:t>自来水管道、</w:t>
      </w:r>
      <w:r>
        <w:rPr>
          <w:rFonts w:hint="eastAsia" w:ascii="仿宋" w:hAnsi="仿宋" w:eastAsia="仿宋" w:cs="仿宋"/>
          <w:color w:val="auto"/>
          <w:sz w:val="32"/>
          <w:szCs w:val="32"/>
        </w:rPr>
        <w:t>燃气、消防、电梯等设施设备定期</w:t>
      </w:r>
      <w:r>
        <w:rPr>
          <w:rFonts w:hint="eastAsia" w:ascii="仿宋" w:hAnsi="仿宋" w:eastAsia="仿宋" w:cs="仿宋"/>
          <w:color w:val="auto"/>
          <w:sz w:val="32"/>
          <w:szCs w:val="32"/>
          <w:lang w:eastAsia="zh-CN"/>
        </w:rPr>
        <w:t>开展</w:t>
      </w:r>
      <w:r>
        <w:rPr>
          <w:rFonts w:hint="eastAsia" w:ascii="仿宋" w:hAnsi="仿宋" w:eastAsia="仿宋" w:cs="仿宋"/>
          <w:color w:val="auto"/>
          <w:sz w:val="32"/>
          <w:szCs w:val="32"/>
        </w:rPr>
        <w:t>消防</w:t>
      </w:r>
      <w:r>
        <w:rPr>
          <w:rFonts w:hint="eastAsia" w:ascii="仿宋" w:hAnsi="仿宋" w:eastAsia="仿宋" w:cs="仿宋"/>
          <w:color w:val="auto"/>
          <w:sz w:val="32"/>
          <w:szCs w:val="32"/>
          <w:lang w:eastAsia="zh-CN"/>
        </w:rPr>
        <w:t>大排查</w:t>
      </w:r>
      <w:r>
        <w:rPr>
          <w:rFonts w:hint="eastAsia" w:ascii="仿宋" w:hAnsi="仿宋" w:eastAsia="仿宋" w:cs="仿宋"/>
          <w:color w:val="auto"/>
          <w:sz w:val="32"/>
          <w:szCs w:val="32"/>
        </w:rPr>
        <w:t>，维护干粉灭火器</w:t>
      </w:r>
      <w:r>
        <w:rPr>
          <w:rFonts w:hint="eastAsia" w:ascii="仿宋" w:hAnsi="仿宋" w:eastAsia="仿宋" w:cs="仿宋"/>
          <w:color w:val="auto"/>
          <w:sz w:val="32"/>
          <w:szCs w:val="32"/>
          <w:lang w:val="en-US" w:eastAsia="zh-CN"/>
        </w:rPr>
        <w:t>40余</w:t>
      </w:r>
      <w:r>
        <w:rPr>
          <w:rFonts w:hint="eastAsia" w:ascii="仿宋" w:hAnsi="仿宋" w:eastAsia="仿宋" w:cs="仿宋"/>
          <w:color w:val="auto"/>
          <w:sz w:val="32"/>
          <w:szCs w:val="32"/>
        </w:rPr>
        <w:t>个，</w:t>
      </w:r>
      <w:r>
        <w:rPr>
          <w:rFonts w:hint="eastAsia" w:ascii="仿宋" w:hAnsi="仿宋" w:eastAsia="仿宋" w:cs="仿宋"/>
          <w:color w:val="auto"/>
          <w:sz w:val="32"/>
          <w:szCs w:val="32"/>
          <w:lang w:eastAsia="zh-CN"/>
        </w:rPr>
        <w:t>电梯日常维保</w:t>
      </w:r>
      <w:r>
        <w:rPr>
          <w:rFonts w:hint="eastAsia" w:ascii="仿宋" w:hAnsi="仿宋" w:eastAsia="仿宋" w:cs="仿宋"/>
          <w:color w:val="auto"/>
          <w:sz w:val="32"/>
          <w:szCs w:val="32"/>
          <w:lang w:val="en-US" w:eastAsia="zh-CN"/>
        </w:rPr>
        <w:t>10余次，</w:t>
      </w:r>
      <w:r>
        <w:rPr>
          <w:rFonts w:hint="eastAsia" w:ascii="仿宋" w:hAnsi="仿宋" w:eastAsia="仿宋" w:cs="仿宋"/>
          <w:color w:val="auto"/>
          <w:sz w:val="32"/>
          <w:szCs w:val="32"/>
        </w:rPr>
        <w:t>确保不发生安全生产责任事故</w:t>
      </w:r>
      <w:r>
        <w:rPr>
          <w:rFonts w:hint="eastAsia" w:ascii="仿宋" w:hAnsi="仿宋" w:eastAsia="仿宋" w:cs="仿宋"/>
          <w:color w:val="auto"/>
          <w:sz w:val="32"/>
          <w:szCs w:val="32"/>
          <w:lang w:val="en-US" w:eastAsia="zh-CN"/>
        </w:rPr>
        <w:t>。</w:t>
      </w:r>
      <w:r>
        <w:rPr>
          <w:rFonts w:hint="eastAsia" w:ascii="仿宋" w:hAnsi="仿宋" w:eastAsia="仿宋" w:cs="仿宋"/>
          <w:color w:val="auto"/>
          <w:sz w:val="32"/>
          <w:szCs w:val="32"/>
        </w:rPr>
        <w:t>定期开展卫生清理整治，补种绿植</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积极践行精细办会理念，全年共完成会务保障</w:t>
      </w:r>
      <w:r>
        <w:rPr>
          <w:rFonts w:hint="eastAsia" w:ascii="仿宋" w:hAnsi="仿宋" w:eastAsia="仿宋" w:cs="仿宋"/>
          <w:color w:val="auto"/>
          <w:sz w:val="32"/>
          <w:szCs w:val="32"/>
          <w:lang w:val="en-US" w:eastAsia="zh-CN"/>
        </w:rPr>
        <w:t>120余</w:t>
      </w:r>
      <w:r>
        <w:rPr>
          <w:rFonts w:hint="eastAsia" w:ascii="仿宋" w:hAnsi="仿宋" w:eastAsia="仿宋" w:cs="仿宋"/>
          <w:color w:val="auto"/>
          <w:sz w:val="32"/>
          <w:szCs w:val="32"/>
        </w:rPr>
        <w:t>场次，会务服务得到广泛赞誉。</w:t>
      </w:r>
      <w:r>
        <w:rPr>
          <w:rFonts w:hint="eastAsia" w:ascii="仿宋" w:hAnsi="仿宋" w:eastAsia="仿宋" w:cs="仿宋"/>
          <w:b/>
          <w:bCs/>
          <w:color w:val="auto"/>
          <w:sz w:val="32"/>
          <w:szCs w:val="32"/>
          <w:lang w:eastAsia="zh-CN"/>
        </w:rPr>
        <w:t>二是诚心服务，做强服务本色，机关食堂保障更加人性。</w:t>
      </w:r>
      <w:r>
        <w:rPr>
          <w:rFonts w:hint="eastAsia" w:ascii="仿宋" w:hAnsi="仿宋" w:eastAsia="仿宋" w:cs="仿宋"/>
          <w:color w:val="auto"/>
          <w:sz w:val="32"/>
          <w:szCs w:val="32"/>
        </w:rPr>
        <w:t>实行以考促管，组成考核组先后对机关餐厅共计完成</w:t>
      </w:r>
      <w:r>
        <w:rPr>
          <w:rFonts w:hint="eastAsia" w:ascii="仿宋" w:hAnsi="仿宋" w:eastAsia="仿宋" w:cs="仿宋"/>
          <w:color w:val="auto"/>
          <w:sz w:val="32"/>
          <w:szCs w:val="32"/>
          <w:lang w:val="en-US" w:eastAsia="zh-CN"/>
        </w:rPr>
        <w:t>6</w:t>
      </w:r>
      <w:r>
        <w:rPr>
          <w:rFonts w:hint="eastAsia" w:ascii="仿宋" w:hAnsi="仿宋" w:eastAsia="仿宋" w:cs="仿宋"/>
          <w:color w:val="auto"/>
          <w:sz w:val="32"/>
          <w:szCs w:val="32"/>
        </w:rPr>
        <w:t>个大项</w:t>
      </w:r>
      <w:r>
        <w:rPr>
          <w:rFonts w:hint="eastAsia" w:ascii="仿宋" w:hAnsi="仿宋" w:eastAsia="仿宋" w:cs="仿宋"/>
          <w:color w:val="auto"/>
          <w:sz w:val="32"/>
          <w:szCs w:val="32"/>
          <w:lang w:val="en-US" w:eastAsia="zh-CN"/>
        </w:rPr>
        <w:t>26</w:t>
      </w:r>
      <w:r>
        <w:rPr>
          <w:rFonts w:hint="eastAsia" w:ascii="仿宋" w:hAnsi="仿宋" w:eastAsia="仿宋" w:cs="仿宋"/>
          <w:color w:val="auto"/>
          <w:sz w:val="32"/>
          <w:szCs w:val="32"/>
        </w:rPr>
        <w:t>个小项考核，</w:t>
      </w:r>
      <w:r>
        <w:rPr>
          <w:rFonts w:hint="eastAsia" w:ascii="仿宋" w:hAnsi="仿宋" w:eastAsia="仿宋" w:cs="仿宋"/>
          <w:color w:val="auto"/>
          <w:sz w:val="32"/>
          <w:szCs w:val="32"/>
          <w:lang w:eastAsia="zh-CN"/>
        </w:rPr>
        <w:t>倒逼食堂质效提升，</w:t>
      </w:r>
      <w:r>
        <w:rPr>
          <w:rFonts w:hint="eastAsia" w:ascii="仿宋" w:hAnsi="仿宋" w:eastAsia="仿宋" w:cs="仿宋"/>
          <w:color w:val="auto"/>
          <w:sz w:val="32"/>
          <w:szCs w:val="32"/>
        </w:rPr>
        <w:t>有效调动了相关人员工作积极</w:t>
      </w:r>
      <w:r>
        <w:rPr>
          <w:rFonts w:hint="eastAsia" w:ascii="仿宋" w:hAnsi="仿宋" w:eastAsia="仿宋" w:cs="仿宋"/>
          <w:color w:val="auto"/>
          <w:sz w:val="32"/>
          <w:szCs w:val="32"/>
          <w:lang w:eastAsia="zh-CN"/>
        </w:rPr>
        <w:t>性</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深化</w:t>
      </w:r>
      <w:r>
        <w:rPr>
          <w:rFonts w:hint="eastAsia" w:ascii="仿宋_GB2312" w:hAnsi="仿宋_GB2312" w:eastAsia="仿宋_GB2312" w:cs="仿宋_GB2312"/>
          <w:color w:val="auto"/>
          <w:sz w:val="32"/>
          <w:szCs w:val="32"/>
          <w:lang w:val="en-US" w:eastAsia="zh-CN"/>
        </w:rPr>
        <w:t>畅通的反馈渠道，通过厨房参观日、现场服务质量调查、设置意见箱等各种手段，</w:t>
      </w:r>
      <w:r>
        <w:rPr>
          <w:rFonts w:hint="eastAsia" w:ascii="仿宋" w:hAnsi="仿宋" w:eastAsia="仿宋" w:cs="仿宋"/>
          <w:color w:val="auto"/>
          <w:sz w:val="32"/>
          <w:szCs w:val="32"/>
        </w:rPr>
        <w:t>广泛征求意见</w:t>
      </w:r>
      <w:r>
        <w:rPr>
          <w:rFonts w:hint="eastAsia" w:ascii="仿宋" w:hAnsi="仿宋" w:eastAsia="仿宋" w:cs="仿宋"/>
          <w:color w:val="auto"/>
          <w:sz w:val="32"/>
          <w:szCs w:val="32"/>
          <w:lang w:eastAsia="zh-CN"/>
        </w:rPr>
        <w:t>，</w:t>
      </w:r>
      <w:r>
        <w:rPr>
          <w:rFonts w:hint="eastAsia" w:ascii="仿宋_GB2312" w:hAnsi="仿宋_GB2312" w:eastAsia="仿宋_GB2312" w:cs="仿宋_GB2312"/>
          <w:color w:val="auto"/>
          <w:sz w:val="32"/>
          <w:szCs w:val="32"/>
          <w:lang w:val="en-US" w:eastAsia="zh-CN"/>
        </w:rPr>
        <w:t>掌握干部职工的需求并要求食堂进行菜品调整，今年指导食堂创新菜品十余种，上半年</w:t>
      </w:r>
      <w:r>
        <w:rPr>
          <w:rFonts w:hint="eastAsia" w:ascii="仿宋_GB2312" w:hAnsi="仿宋" w:eastAsia="仿宋_GB2312"/>
          <w:color w:val="auto"/>
          <w:sz w:val="32"/>
          <w:szCs w:val="32"/>
        </w:rPr>
        <w:t>考评综合得分</w:t>
      </w:r>
      <w:r>
        <w:rPr>
          <w:rFonts w:hint="eastAsia" w:ascii="仿宋_GB2312" w:hAnsi="仿宋_GB2312" w:eastAsia="仿宋_GB2312" w:cs="仿宋_GB2312"/>
          <w:color w:val="auto"/>
          <w:sz w:val="32"/>
          <w:szCs w:val="32"/>
          <w:lang w:val="en-US" w:eastAsia="zh-CN"/>
        </w:rPr>
        <w:t>94.3分，下半年</w:t>
      </w:r>
      <w:r>
        <w:rPr>
          <w:rFonts w:hint="eastAsia" w:ascii="仿宋_GB2312" w:hAnsi="仿宋" w:eastAsia="仿宋_GB2312"/>
          <w:color w:val="auto"/>
          <w:sz w:val="32"/>
          <w:szCs w:val="32"/>
        </w:rPr>
        <w:t>考评综合得分</w:t>
      </w:r>
      <w:r>
        <w:rPr>
          <w:rFonts w:hint="eastAsia" w:ascii="仿宋_GB2312" w:hAnsi="仿宋" w:eastAsia="仿宋_GB2312"/>
          <w:color w:val="auto"/>
          <w:sz w:val="32"/>
          <w:szCs w:val="32"/>
          <w:lang w:val="en-US" w:eastAsia="zh-CN"/>
        </w:rPr>
        <w:t>88.92</w:t>
      </w:r>
      <w:r>
        <w:rPr>
          <w:rFonts w:hint="eastAsia" w:ascii="仿宋_GB2312" w:hAnsi="仿宋" w:eastAsia="仿宋_GB2312"/>
          <w:color w:val="auto"/>
          <w:sz w:val="32"/>
          <w:szCs w:val="32"/>
        </w:rPr>
        <w:t>分</w:t>
      </w:r>
      <w:r>
        <w:rPr>
          <w:rFonts w:hint="eastAsia" w:ascii="仿宋_GB2312" w:hAnsi="仿宋_GB2312" w:eastAsia="仿宋_GB2312" w:cs="仿宋_GB2312"/>
          <w:color w:val="auto"/>
          <w:sz w:val="32"/>
          <w:szCs w:val="32"/>
          <w:lang w:val="en-US" w:eastAsia="zh-CN"/>
        </w:rPr>
        <w:t>。</w:t>
      </w:r>
      <w:r>
        <w:rPr>
          <w:rFonts w:hint="eastAsia" w:ascii="仿宋" w:hAnsi="仿宋" w:eastAsia="仿宋" w:cs="仿宋"/>
          <w:color w:val="auto"/>
          <w:sz w:val="32"/>
          <w:szCs w:val="32"/>
        </w:rPr>
        <w:t>开展健康饮食活动，指导</w:t>
      </w:r>
      <w:r>
        <w:rPr>
          <w:rFonts w:hint="eastAsia" w:ascii="仿宋" w:hAnsi="仿宋" w:eastAsia="仿宋" w:cs="仿宋"/>
          <w:color w:val="auto"/>
          <w:sz w:val="32"/>
          <w:szCs w:val="32"/>
          <w:lang w:eastAsia="zh-CN"/>
        </w:rPr>
        <w:t>承包商</w:t>
      </w:r>
      <w:r>
        <w:rPr>
          <w:rFonts w:hint="eastAsia" w:ascii="仿宋" w:hAnsi="仿宋" w:eastAsia="仿宋" w:cs="仿宋"/>
          <w:color w:val="auto"/>
          <w:sz w:val="32"/>
          <w:szCs w:val="32"/>
        </w:rPr>
        <w:t>科学调整用油、用盐，确保吃好吃出健康</w:t>
      </w:r>
      <w:r>
        <w:rPr>
          <w:rFonts w:hint="eastAsia" w:ascii="仿宋" w:hAnsi="仿宋" w:eastAsia="仿宋" w:cs="仿宋"/>
          <w:color w:val="auto"/>
          <w:sz w:val="32"/>
          <w:szCs w:val="32"/>
          <w:lang w:eastAsia="zh-CN"/>
        </w:rPr>
        <w:t>。</w:t>
      </w:r>
      <w:r>
        <w:rPr>
          <w:rFonts w:hint="eastAsia" w:ascii="楷体" w:hAnsi="楷体" w:eastAsia="楷体" w:cs="楷体"/>
          <w:color w:val="auto"/>
          <w:sz w:val="32"/>
          <w:szCs w:val="32"/>
        </w:rPr>
        <w:t>着眼规范管理，机关事务的管理职能日益凸显</w:t>
      </w:r>
      <w:r>
        <w:rPr>
          <w:rFonts w:hint="eastAsia" w:ascii="楷体" w:hAnsi="楷体" w:eastAsia="楷体" w:cs="楷体"/>
          <w:color w:val="auto"/>
          <w:sz w:val="32"/>
          <w:szCs w:val="32"/>
          <w:lang w:eastAsia="zh-CN"/>
        </w:rPr>
        <w:t>。</w:t>
      </w:r>
    </w:p>
    <w:p w14:paraId="23CA3825">
      <w:pPr>
        <w:spacing w:line="600" w:lineRule="exact"/>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rPr>
        <w:t>在服务保障中充分发挥机关事务管理职能，坚持拧紧“制度阀”，管好用好国有资产，规范做好各类公务保障，在实现优质保障同时又严守制度要求。</w:t>
      </w:r>
      <w:r>
        <w:rPr>
          <w:rFonts w:hint="eastAsia" w:ascii="仿宋" w:hAnsi="仿宋" w:eastAsia="仿宋" w:cs="仿宋"/>
          <w:b/>
          <w:bCs/>
          <w:color w:val="auto"/>
          <w:sz w:val="32"/>
          <w:szCs w:val="32"/>
          <w:lang w:eastAsia="zh-CN"/>
        </w:rPr>
        <w:t>一是在公务用车管理上展现新作为。</w:t>
      </w:r>
      <w:r>
        <w:rPr>
          <w:rFonts w:hint="eastAsia" w:ascii="仿宋" w:hAnsi="仿宋" w:eastAsia="仿宋" w:cs="仿宋"/>
          <w:color w:val="auto"/>
          <w:sz w:val="32"/>
          <w:szCs w:val="32"/>
        </w:rPr>
        <w:t>严格落实公务用车编制、配备、使用和监督管理要求。完善公务用车信息平台建设，构建集“预约、调度、指挥、监管”于一体的车辆管理系统。强化公车科学调度，提高车辆使用效率，降低运行成本，坚持定点维修、定点保养、定点加油“三定点”管理制度，定期统计单车使用次数、运行成本，实现对公车运行费用的科学管控。</w:t>
      </w:r>
      <w:r>
        <w:rPr>
          <w:rFonts w:hint="eastAsia" w:ascii="仿宋_GB2312" w:eastAsia="仿宋_GB2312"/>
          <w:color w:val="auto"/>
          <w:sz w:val="32"/>
          <w:szCs w:val="32"/>
          <w:lang w:eastAsia="zh-CN"/>
        </w:rPr>
        <w:t>截至目前，全平台车辆安全行驶</w:t>
      </w:r>
      <w:r>
        <w:rPr>
          <w:rFonts w:hint="eastAsia" w:ascii="仿宋_GB2312" w:eastAsia="仿宋_GB2312"/>
          <w:color w:val="auto"/>
          <w:sz w:val="32"/>
          <w:szCs w:val="32"/>
          <w:lang w:val="en-US" w:eastAsia="zh-CN"/>
        </w:rPr>
        <w:t>58万公里，公务出行次数达2684次</w:t>
      </w:r>
      <w:r>
        <w:rPr>
          <w:rFonts w:hint="eastAsia" w:ascii="仿宋" w:hAnsi="仿宋" w:eastAsia="仿宋" w:cs="仿宋"/>
          <w:color w:val="auto"/>
          <w:sz w:val="32"/>
          <w:szCs w:val="32"/>
        </w:rPr>
        <w:t>。以常态化检查促安全</w:t>
      </w:r>
      <w:r>
        <w:rPr>
          <w:rFonts w:hint="eastAsia" w:ascii="仿宋" w:hAnsi="仿宋" w:eastAsia="仿宋" w:cs="仿宋"/>
          <w:color w:val="auto"/>
          <w:sz w:val="32"/>
          <w:szCs w:val="32"/>
          <w:lang w:eastAsia="zh-CN"/>
        </w:rPr>
        <w:t>，每周不定时对平台司机开展酒精测试，从源头上预防和杜绝酒后驾车行为。</w:t>
      </w:r>
      <w:r>
        <w:rPr>
          <w:rFonts w:hint="eastAsia" w:ascii="仿宋_GB2312" w:eastAsia="仿宋_GB2312"/>
          <w:color w:val="auto"/>
          <w:sz w:val="32"/>
          <w:szCs w:val="32"/>
        </w:rPr>
        <w:t>公车平台每</w:t>
      </w:r>
      <w:r>
        <w:rPr>
          <w:rFonts w:hint="eastAsia" w:ascii="仿宋_GB2312" w:eastAsia="仿宋_GB2312"/>
          <w:color w:val="auto"/>
          <w:sz w:val="32"/>
          <w:szCs w:val="32"/>
          <w:lang w:eastAsia="zh-CN"/>
        </w:rPr>
        <w:t>个季度</w:t>
      </w:r>
      <w:r>
        <w:rPr>
          <w:rFonts w:hint="eastAsia" w:ascii="仿宋_GB2312" w:eastAsia="仿宋_GB2312"/>
          <w:color w:val="auto"/>
          <w:sz w:val="32"/>
          <w:szCs w:val="32"/>
        </w:rPr>
        <w:t>组织驾驶员进行安全行车知识学习，通过各种事故案例讲解“举一反三”，坚决杜绝超速违章行车，疲劳驾驶</w:t>
      </w:r>
      <w:r>
        <w:rPr>
          <w:rFonts w:hint="eastAsia" w:ascii="仿宋_GB2312" w:eastAsia="仿宋_GB2312"/>
          <w:color w:val="auto"/>
          <w:sz w:val="32"/>
          <w:szCs w:val="32"/>
          <w:lang w:eastAsia="zh-CN"/>
        </w:rPr>
        <w:t>等</w:t>
      </w:r>
      <w:r>
        <w:rPr>
          <w:rFonts w:hint="eastAsia" w:ascii="仿宋_GB2312" w:eastAsia="仿宋_GB2312"/>
          <w:color w:val="auto"/>
          <w:sz w:val="32"/>
          <w:szCs w:val="32"/>
        </w:rPr>
        <w:t>。</w:t>
      </w:r>
      <w:r>
        <w:rPr>
          <w:rFonts w:hint="eastAsia" w:ascii="仿宋" w:hAnsi="仿宋" w:eastAsia="仿宋" w:cs="仿宋"/>
          <w:color w:val="auto"/>
          <w:sz w:val="32"/>
          <w:szCs w:val="32"/>
          <w:lang w:eastAsia="zh-CN"/>
        </w:rPr>
        <w:t>严格</w:t>
      </w:r>
      <w:r>
        <w:rPr>
          <w:rFonts w:hint="eastAsia" w:ascii="仿宋" w:hAnsi="仿宋" w:eastAsia="仿宋" w:cs="仿宋"/>
          <w:color w:val="auto"/>
          <w:sz w:val="32"/>
          <w:szCs w:val="32"/>
        </w:rPr>
        <w:t>落实车辆“日查、月检和按时保养”制度，及时排查解决安全隐患，并根据季节和天气特性开展专项检查，确保车辆运行过程中的安全可靠，从维护上筑牢安全防线</w:t>
      </w:r>
      <w:r>
        <w:rPr>
          <w:rFonts w:hint="eastAsia" w:ascii="仿宋" w:hAnsi="仿宋" w:eastAsia="仿宋" w:cs="仿宋"/>
          <w:color w:val="auto"/>
          <w:sz w:val="32"/>
          <w:szCs w:val="32"/>
          <w:lang w:eastAsia="zh-CN"/>
        </w:rPr>
        <w:t>。</w:t>
      </w:r>
      <w:r>
        <w:rPr>
          <w:rFonts w:hint="eastAsia" w:ascii="仿宋" w:hAnsi="仿宋" w:eastAsia="仿宋" w:cs="仿宋"/>
          <w:b/>
          <w:bCs/>
          <w:color w:val="auto"/>
          <w:sz w:val="32"/>
          <w:szCs w:val="32"/>
          <w:lang w:eastAsia="zh-CN"/>
        </w:rPr>
        <w:t>二是在国有资产管理上实现新突破。</w:t>
      </w:r>
      <w:r>
        <w:rPr>
          <w:rFonts w:hint="eastAsia" w:ascii="仿宋" w:hAnsi="仿宋" w:eastAsia="仿宋" w:cs="仿宋"/>
          <w:color w:val="auto"/>
          <w:sz w:val="32"/>
          <w:szCs w:val="32"/>
        </w:rPr>
        <w:t>扎实开展</w:t>
      </w:r>
      <w:r>
        <w:rPr>
          <w:rFonts w:hint="eastAsia" w:ascii="仿宋" w:hAnsi="仿宋" w:eastAsia="仿宋" w:cs="仿宋"/>
          <w:color w:val="auto"/>
          <w:sz w:val="32"/>
          <w:szCs w:val="32"/>
          <w:lang w:eastAsia="zh-CN"/>
        </w:rPr>
        <w:t>办公用房</w:t>
      </w:r>
      <w:r>
        <w:rPr>
          <w:rFonts w:hint="eastAsia" w:ascii="仿宋" w:hAnsi="仿宋" w:eastAsia="仿宋" w:cs="仿宋"/>
          <w:color w:val="auto"/>
          <w:sz w:val="32"/>
          <w:szCs w:val="32"/>
        </w:rPr>
        <w:t>权属</w:t>
      </w:r>
      <w:r>
        <w:rPr>
          <w:rFonts w:hint="eastAsia" w:ascii="仿宋" w:hAnsi="仿宋" w:eastAsia="仿宋" w:cs="仿宋"/>
          <w:color w:val="auto"/>
          <w:sz w:val="32"/>
          <w:szCs w:val="32"/>
          <w:lang w:eastAsia="zh-CN"/>
        </w:rPr>
        <w:t>统一</w:t>
      </w:r>
      <w:r>
        <w:rPr>
          <w:rFonts w:hint="eastAsia" w:ascii="仿宋" w:hAnsi="仿宋" w:eastAsia="仿宋" w:cs="仿宋"/>
          <w:color w:val="auto"/>
          <w:sz w:val="32"/>
          <w:szCs w:val="32"/>
        </w:rPr>
        <w:t>登记工作</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摸清全区行政事业单位不动产权证办理信息底数，并建立台账，做到了资产心里有数。2024年第7次区人民政府常务会议研究我区党政机关办公用房权属统一登记相关工作。随后以政府办名义印发工作方案，成立了工作专班，进行了任务分工。9月26日，常务副区长组织召开了全区党政机关办公用房权属统一登记工作动员部署会议，会上对工作流程进行了解读，明确了办理批次与完成的时间节点。10月16日，我中心组织召开全区党政机关办公用房权属统一登记工作乡镇工作推进会，进一步明确了乡镇办证的程序。截止12月31日，城区36处地方完成了土地测绘，5家单位8栋房屋完成了房屋测量；长春镇、迎风桥镇已完成土地测绘和房屋测量区政府院内17家单位。已办理不动产权证共计30本。已准备资料待发证：卫健、发改、财政、教育、民政等8家单位。土地确权中：市监、人社。各乡镇正在同步推进该项工作。</w:t>
      </w:r>
      <w:r>
        <w:rPr>
          <w:rFonts w:hint="eastAsia" w:ascii="仿宋" w:hAnsi="仿宋" w:eastAsia="仿宋" w:cs="仿宋"/>
          <w:color w:val="auto"/>
          <w:sz w:val="32"/>
          <w:szCs w:val="32"/>
          <w:lang w:eastAsia="zh-CN"/>
        </w:rPr>
        <w:t>开展办公用房调研，</w:t>
      </w:r>
      <w:r>
        <w:rPr>
          <w:rFonts w:hint="eastAsia" w:ascii="仿宋" w:hAnsi="仿宋" w:eastAsia="仿宋" w:cs="仿宋"/>
          <w:color w:val="auto"/>
          <w:sz w:val="32"/>
          <w:szCs w:val="32"/>
        </w:rPr>
        <w:t>统筹做好办公用房调配工作</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协调医保局、工商联、区气象局与交通局合署办公，区纪检组与公路养护中心临时合署办公。</w:t>
      </w:r>
      <w:r>
        <w:rPr>
          <w:rFonts w:hint="eastAsia" w:ascii="仿宋" w:hAnsi="仿宋" w:eastAsia="仿宋" w:cs="仿宋"/>
          <w:color w:val="auto"/>
          <w:sz w:val="32"/>
          <w:szCs w:val="32"/>
          <w:lang w:eastAsia="zh-CN"/>
        </w:rPr>
        <w:t>根据机构改革的现实需要，</w:t>
      </w:r>
      <w:r>
        <w:rPr>
          <w:rFonts w:hint="eastAsia" w:ascii="仿宋" w:hAnsi="仿宋" w:eastAsia="仿宋" w:cs="仿宋"/>
          <w:color w:val="auto"/>
          <w:sz w:val="32"/>
          <w:szCs w:val="32"/>
          <w:lang w:val="en-US" w:eastAsia="zh-CN"/>
        </w:rPr>
        <w:t>安置涉改部门的办公用房，乡村振兴局搬至农业农村局合署办公，为新成立的社会工作部安排办公用房。对个别单位办公用房启封进行调配并留存记录。</w:t>
      </w:r>
      <w:r>
        <w:rPr>
          <w:rFonts w:hint="eastAsia" w:ascii="仿宋" w:hAnsi="仿宋" w:eastAsia="仿宋" w:cs="仿宋"/>
          <w:b/>
          <w:bCs/>
          <w:color w:val="auto"/>
          <w:sz w:val="32"/>
          <w:szCs w:val="32"/>
          <w:lang w:val="en-US" w:eastAsia="zh-CN"/>
        </w:rPr>
        <w:t>三是</w:t>
      </w:r>
      <w:r>
        <w:rPr>
          <w:rFonts w:hint="eastAsia" w:ascii="仿宋" w:hAnsi="仿宋" w:eastAsia="仿宋" w:cs="仿宋"/>
          <w:b/>
          <w:bCs/>
          <w:color w:val="auto"/>
          <w:sz w:val="32"/>
          <w:szCs w:val="32"/>
          <w:lang w:eastAsia="zh-CN"/>
        </w:rPr>
        <w:t>在公共机构节能上取得新成绩。</w:t>
      </w:r>
      <w:r>
        <w:rPr>
          <w:rFonts w:hint="eastAsia" w:ascii="仿宋_GB2312" w:hAnsi="仿宋_GB2312" w:eastAsia="仿宋_GB2312" w:cs="仿宋_GB2312"/>
          <w:color w:val="auto"/>
          <w:sz w:val="32"/>
          <w:szCs w:val="32"/>
          <w:lang w:val="en-US" w:eastAsia="zh-CN"/>
        </w:rPr>
        <w:t>完善新能源汽车的配套设施建设，联合资</w:t>
      </w:r>
      <w:r>
        <w:rPr>
          <w:rFonts w:hint="eastAsia" w:ascii="仿宋" w:hAnsi="仿宋" w:eastAsia="仿宋" w:cs="仿宋"/>
          <w:color w:val="auto"/>
          <w:sz w:val="32"/>
          <w:szCs w:val="32"/>
        </w:rPr>
        <w:t>阳发展集团在机关大院新建</w:t>
      </w:r>
      <w:r>
        <w:rPr>
          <w:rFonts w:hint="eastAsia" w:ascii="仿宋" w:hAnsi="仿宋" w:eastAsia="仿宋" w:cs="仿宋"/>
          <w:color w:val="auto"/>
          <w:sz w:val="32"/>
          <w:szCs w:val="32"/>
          <w:lang w:val="en-US" w:eastAsia="zh-CN"/>
        </w:rPr>
        <w:t>14</w:t>
      </w:r>
      <w:r>
        <w:rPr>
          <w:rFonts w:hint="eastAsia" w:ascii="仿宋" w:hAnsi="仿宋" w:eastAsia="仿宋" w:cs="仿宋"/>
          <w:color w:val="auto"/>
          <w:sz w:val="32"/>
          <w:szCs w:val="32"/>
        </w:rPr>
        <w:t>个新能源车充电桩</w:t>
      </w:r>
      <w:r>
        <w:rPr>
          <w:rFonts w:hint="eastAsia" w:ascii="仿宋" w:hAnsi="仿宋" w:eastAsia="仿宋" w:cs="仿宋"/>
          <w:color w:val="auto"/>
          <w:sz w:val="32"/>
          <w:szCs w:val="32"/>
          <w:lang w:eastAsia="zh-CN"/>
        </w:rPr>
        <w:t>。</w:t>
      </w:r>
      <w:r>
        <w:rPr>
          <w:rFonts w:hint="eastAsia" w:ascii="仿宋_GB2312" w:hAnsi="仿宋_GB2312" w:eastAsia="仿宋_GB2312" w:cs="仿宋_GB2312"/>
          <w:color w:val="auto"/>
          <w:sz w:val="32"/>
          <w:szCs w:val="32"/>
          <w:lang w:val="en-US" w:eastAsia="zh-CN"/>
        </w:rPr>
        <w:t>积极推进能耗数据报送，督促全区144个行政事业单位完成2024年度能耗数据填报至全国公共机构节约能源资源信息平台。全面增强节能意识，加强宣传。1月组织单位全体干职工进行生活垃圾分类主题宣讲；2月联合区审计局在人民路社区及人社局就业服务培训班上进行“反对浪费 崇尚节约”主题宣讲；3月组织公车平台全体司机进行光盘行动宣讲；适时组织各单位收看全国各地优秀生活垃圾广告展播；5月15日，在鹅洋池开展2024年全国节能宣传周活动。发送节能宣传册三百余份，活动突出“绿色转型 节能攻坚”主题，抓住干职工这关键少数，以少数带动大多数。传播节能降碳和绿色发展理念，倡导绿色低碳生活方式。抓住干职工这关键少数，以少数带动大多数，组织干部观看《2024年公共机构绿色低碳讲堂》。另外，还充分利用院内LED显示屏、宣传版面等媒介，对节能减排工作的宣传十余次。在全区起到了较好的示范作用。</w:t>
      </w:r>
    </w:p>
    <w:p w14:paraId="12A8BF44">
      <w:pPr>
        <w:widowControl/>
        <w:numPr>
          <w:ilvl w:val="0"/>
          <w:numId w:val="1"/>
        </w:numPr>
        <w:shd w:val="clear" w:color="auto" w:fill="FFFFFF"/>
        <w:spacing w:line="600" w:lineRule="atLeast"/>
        <w:ind w:left="0" w:leftChars="0" w:firstLine="0" w:firstLineChars="0"/>
        <w:jc w:val="left"/>
        <w:rPr>
          <w:rFonts w:hint="eastAsia" w:ascii="楷体" w:hAnsi="楷体" w:eastAsia="楷体" w:cs="楷体"/>
          <w:b/>
          <w:bCs/>
          <w:color w:val="auto"/>
          <w:kern w:val="0"/>
          <w:sz w:val="32"/>
          <w:szCs w:val="32"/>
          <w:lang w:val="en-US" w:eastAsia="zh-CN" w:bidi="ar-SA"/>
        </w:rPr>
      </w:pPr>
      <w:r>
        <w:rPr>
          <w:rFonts w:hint="eastAsia" w:ascii="楷体" w:hAnsi="楷体" w:eastAsia="楷体" w:cs="楷体"/>
          <w:b/>
          <w:bCs/>
          <w:color w:val="auto"/>
          <w:kern w:val="0"/>
          <w:sz w:val="32"/>
          <w:szCs w:val="32"/>
          <w:lang w:val="en-US" w:eastAsia="zh-CN" w:bidi="ar-SA"/>
        </w:rPr>
        <w:t>部门整体支出规模、使用方向、主要内容和涉及范围。</w:t>
      </w:r>
    </w:p>
    <w:p w14:paraId="1C62C2C7">
      <w:pPr>
        <w:widowControl/>
        <w:numPr>
          <w:ilvl w:val="0"/>
          <w:numId w:val="0"/>
        </w:numPr>
        <w:shd w:val="clear" w:color="auto" w:fill="FFFFFF"/>
        <w:spacing w:line="600" w:lineRule="atLeast"/>
        <w:ind w:leftChars="0"/>
        <w:jc w:val="left"/>
        <w:rPr>
          <w:rFonts w:hint="eastAsia" w:ascii="仿宋" w:hAnsi="仿宋" w:eastAsia="仿宋" w:cs="仿宋"/>
          <w:color w:val="auto"/>
          <w:kern w:val="0"/>
          <w:sz w:val="30"/>
          <w:szCs w:val="30"/>
        </w:rPr>
      </w:pPr>
    </w:p>
    <w:p w14:paraId="68CE11F0">
      <w:pPr>
        <w:widowControl/>
        <w:numPr>
          <w:ilvl w:val="0"/>
          <w:numId w:val="0"/>
        </w:numPr>
        <w:shd w:val="clear" w:color="auto" w:fill="FFFFFF"/>
        <w:spacing w:line="600" w:lineRule="atLeast"/>
        <w:ind w:leftChars="0" w:firstLine="300" w:firstLineChars="100"/>
        <w:jc w:val="lef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我</w:t>
      </w:r>
      <w:r>
        <w:rPr>
          <w:rFonts w:hint="eastAsia" w:ascii="仿宋" w:hAnsi="仿宋" w:eastAsia="仿宋" w:cs="仿宋"/>
          <w:color w:val="auto"/>
          <w:kern w:val="0"/>
          <w:sz w:val="30"/>
          <w:szCs w:val="30"/>
          <w:lang w:eastAsia="zh-CN"/>
        </w:rPr>
        <w:t>中心202</w:t>
      </w:r>
      <w:r>
        <w:rPr>
          <w:rFonts w:hint="eastAsia" w:ascii="仿宋" w:hAnsi="仿宋" w:eastAsia="仿宋" w:cs="仿宋"/>
          <w:color w:val="auto"/>
          <w:kern w:val="0"/>
          <w:sz w:val="30"/>
          <w:szCs w:val="30"/>
          <w:lang w:val="en-US" w:eastAsia="zh-CN"/>
        </w:rPr>
        <w:t>4</w:t>
      </w:r>
      <w:r>
        <w:rPr>
          <w:rFonts w:hint="eastAsia" w:ascii="仿宋" w:hAnsi="仿宋" w:eastAsia="仿宋" w:cs="仿宋"/>
          <w:color w:val="auto"/>
          <w:kern w:val="0"/>
          <w:sz w:val="30"/>
          <w:szCs w:val="30"/>
          <w:lang w:eastAsia="zh-CN"/>
        </w:rPr>
        <w:t>年</w:t>
      </w:r>
      <w:r>
        <w:rPr>
          <w:rFonts w:hint="eastAsia" w:ascii="仿宋" w:hAnsi="仿宋" w:eastAsia="仿宋" w:cs="仿宋"/>
          <w:color w:val="auto"/>
          <w:kern w:val="0"/>
          <w:sz w:val="30"/>
          <w:szCs w:val="30"/>
        </w:rPr>
        <w:t>一般公共预算财政拨款收入</w:t>
      </w:r>
      <w:r>
        <w:rPr>
          <w:rFonts w:hint="eastAsia" w:ascii="仿宋" w:hAnsi="仿宋" w:eastAsia="仿宋" w:cs="仿宋"/>
          <w:color w:val="auto"/>
          <w:kern w:val="0"/>
          <w:sz w:val="30"/>
          <w:szCs w:val="30"/>
          <w:lang w:val="en-US" w:eastAsia="zh-CN"/>
        </w:rPr>
        <w:t>548.78</w:t>
      </w:r>
      <w:r>
        <w:rPr>
          <w:rFonts w:hint="eastAsia" w:ascii="仿宋" w:hAnsi="仿宋" w:eastAsia="仿宋" w:cs="仿宋"/>
          <w:color w:val="auto"/>
          <w:kern w:val="0"/>
          <w:sz w:val="30"/>
          <w:szCs w:val="30"/>
        </w:rPr>
        <w:t>万元，其他收入</w:t>
      </w:r>
      <w:r>
        <w:rPr>
          <w:rFonts w:hint="eastAsia" w:ascii="仿宋" w:hAnsi="仿宋" w:eastAsia="仿宋" w:cs="仿宋"/>
          <w:color w:val="auto"/>
          <w:kern w:val="0"/>
          <w:sz w:val="30"/>
          <w:szCs w:val="30"/>
          <w:lang w:val="en-US" w:eastAsia="zh-CN"/>
        </w:rPr>
        <w:t>394.05</w:t>
      </w:r>
      <w:r>
        <w:rPr>
          <w:rFonts w:hint="eastAsia" w:ascii="仿宋" w:hAnsi="仿宋" w:eastAsia="仿宋" w:cs="仿宋"/>
          <w:color w:val="auto"/>
          <w:kern w:val="0"/>
          <w:sz w:val="30"/>
          <w:szCs w:val="30"/>
        </w:rPr>
        <w:t>万元，全年一般公共预算收入总计</w:t>
      </w:r>
      <w:r>
        <w:rPr>
          <w:rFonts w:hint="eastAsia" w:ascii="仿宋" w:hAnsi="仿宋" w:eastAsia="仿宋" w:cs="仿宋"/>
          <w:color w:val="auto"/>
          <w:kern w:val="0"/>
          <w:sz w:val="30"/>
          <w:szCs w:val="30"/>
          <w:lang w:val="en-US" w:eastAsia="zh-CN"/>
        </w:rPr>
        <w:t>942.83</w:t>
      </w:r>
      <w:r>
        <w:rPr>
          <w:rFonts w:hint="eastAsia" w:ascii="仿宋" w:hAnsi="仿宋" w:eastAsia="仿宋" w:cs="仿宋"/>
          <w:color w:val="auto"/>
          <w:kern w:val="0"/>
          <w:sz w:val="30"/>
          <w:szCs w:val="30"/>
        </w:rPr>
        <w:t>万元。</w:t>
      </w:r>
      <w:r>
        <w:rPr>
          <w:rFonts w:hint="eastAsia" w:ascii="仿宋" w:hAnsi="仿宋" w:eastAsia="仿宋" w:cs="仿宋"/>
          <w:color w:val="auto"/>
          <w:kern w:val="0"/>
          <w:sz w:val="30"/>
          <w:szCs w:val="30"/>
          <w:lang w:eastAsia="zh-CN"/>
        </w:rPr>
        <w:t>202</w:t>
      </w:r>
      <w:r>
        <w:rPr>
          <w:rFonts w:hint="eastAsia" w:ascii="仿宋" w:hAnsi="仿宋" w:eastAsia="仿宋" w:cs="仿宋"/>
          <w:color w:val="auto"/>
          <w:kern w:val="0"/>
          <w:sz w:val="30"/>
          <w:szCs w:val="30"/>
          <w:lang w:val="en-US" w:eastAsia="zh-CN"/>
        </w:rPr>
        <w:t>4</w:t>
      </w:r>
      <w:r>
        <w:rPr>
          <w:rFonts w:hint="eastAsia" w:ascii="仿宋" w:hAnsi="仿宋" w:eastAsia="仿宋" w:cs="仿宋"/>
          <w:color w:val="auto"/>
          <w:kern w:val="0"/>
          <w:sz w:val="30"/>
          <w:szCs w:val="30"/>
          <w:lang w:eastAsia="zh-CN"/>
        </w:rPr>
        <w:t>年</w:t>
      </w:r>
      <w:r>
        <w:rPr>
          <w:rFonts w:hint="eastAsia" w:ascii="仿宋" w:hAnsi="仿宋" w:eastAsia="仿宋" w:cs="仿宋"/>
          <w:color w:val="auto"/>
          <w:kern w:val="0"/>
          <w:sz w:val="30"/>
          <w:szCs w:val="30"/>
        </w:rPr>
        <w:t>一般公共预算支出</w:t>
      </w:r>
      <w:r>
        <w:rPr>
          <w:rFonts w:hint="eastAsia" w:ascii="仿宋" w:hAnsi="仿宋" w:eastAsia="仿宋" w:cs="仿宋"/>
          <w:color w:val="auto"/>
          <w:kern w:val="0"/>
          <w:sz w:val="30"/>
          <w:szCs w:val="30"/>
          <w:lang w:val="en-US" w:eastAsia="zh-CN"/>
        </w:rPr>
        <w:t>940.83</w:t>
      </w:r>
      <w:r>
        <w:rPr>
          <w:rFonts w:hint="eastAsia" w:ascii="仿宋" w:hAnsi="仿宋" w:eastAsia="仿宋" w:cs="仿宋"/>
          <w:color w:val="auto"/>
          <w:kern w:val="0"/>
          <w:sz w:val="30"/>
          <w:szCs w:val="30"/>
        </w:rPr>
        <w:t>万元，其中基本支出</w:t>
      </w:r>
      <w:r>
        <w:rPr>
          <w:rFonts w:hint="eastAsia" w:ascii="仿宋" w:hAnsi="仿宋" w:eastAsia="仿宋" w:cs="仿宋"/>
          <w:color w:val="auto"/>
          <w:kern w:val="0"/>
          <w:sz w:val="30"/>
          <w:szCs w:val="30"/>
          <w:lang w:val="en-US" w:eastAsia="zh-CN"/>
        </w:rPr>
        <w:t>317.09</w:t>
      </w:r>
      <w:r>
        <w:rPr>
          <w:rFonts w:hint="eastAsia" w:ascii="仿宋" w:hAnsi="仿宋" w:eastAsia="仿宋" w:cs="仿宋"/>
          <w:color w:val="auto"/>
          <w:kern w:val="0"/>
          <w:sz w:val="30"/>
          <w:szCs w:val="30"/>
        </w:rPr>
        <w:t>万元，占</w:t>
      </w:r>
      <w:r>
        <w:rPr>
          <w:rFonts w:hint="eastAsia" w:ascii="仿宋" w:hAnsi="仿宋" w:eastAsia="仿宋" w:cs="仿宋"/>
          <w:color w:val="auto"/>
          <w:kern w:val="0"/>
          <w:sz w:val="30"/>
          <w:szCs w:val="30"/>
          <w:lang w:val="en-US" w:eastAsia="zh-CN"/>
        </w:rPr>
        <w:t>33.7</w:t>
      </w:r>
      <w:r>
        <w:rPr>
          <w:rFonts w:hint="eastAsia" w:ascii="仿宋" w:hAnsi="仿宋" w:eastAsia="仿宋" w:cs="仿宋"/>
          <w:color w:val="auto"/>
          <w:kern w:val="0"/>
          <w:sz w:val="30"/>
          <w:szCs w:val="30"/>
        </w:rPr>
        <w:t>%，项目支出</w:t>
      </w:r>
      <w:r>
        <w:rPr>
          <w:rFonts w:hint="eastAsia" w:ascii="仿宋" w:hAnsi="仿宋" w:eastAsia="仿宋" w:cs="仿宋"/>
          <w:color w:val="auto"/>
          <w:kern w:val="0"/>
          <w:sz w:val="30"/>
          <w:szCs w:val="30"/>
          <w:lang w:val="en-US" w:eastAsia="zh-CN"/>
        </w:rPr>
        <w:t>623.74</w:t>
      </w:r>
      <w:r>
        <w:rPr>
          <w:rFonts w:hint="eastAsia" w:ascii="仿宋" w:hAnsi="仿宋" w:eastAsia="仿宋" w:cs="仿宋"/>
          <w:color w:val="auto"/>
          <w:kern w:val="0"/>
          <w:sz w:val="30"/>
          <w:szCs w:val="30"/>
        </w:rPr>
        <w:t>万元，占</w:t>
      </w:r>
      <w:r>
        <w:rPr>
          <w:rFonts w:hint="eastAsia" w:ascii="仿宋" w:hAnsi="仿宋" w:eastAsia="仿宋" w:cs="仿宋"/>
          <w:color w:val="auto"/>
          <w:kern w:val="0"/>
          <w:sz w:val="30"/>
          <w:szCs w:val="30"/>
          <w:lang w:val="en-US" w:eastAsia="zh-CN"/>
        </w:rPr>
        <w:t>66.3</w:t>
      </w:r>
      <w:r>
        <w:rPr>
          <w:rFonts w:hint="eastAsia" w:ascii="仿宋" w:hAnsi="仿宋" w:eastAsia="仿宋" w:cs="仿宋"/>
          <w:color w:val="auto"/>
          <w:kern w:val="0"/>
          <w:sz w:val="30"/>
          <w:szCs w:val="30"/>
        </w:rPr>
        <w:t>%。</w:t>
      </w:r>
    </w:p>
    <w:p w14:paraId="356699E5">
      <w:pPr>
        <w:widowControl/>
        <w:numPr>
          <w:ilvl w:val="0"/>
          <w:numId w:val="0"/>
        </w:numPr>
        <w:shd w:val="clear" w:color="auto" w:fill="FFFFFF"/>
        <w:spacing w:line="600" w:lineRule="atLeast"/>
        <w:jc w:val="left"/>
        <w:rPr>
          <w:rFonts w:hint="eastAsia" w:ascii="仿宋" w:hAnsi="仿宋" w:eastAsia="仿宋" w:cs="仿宋"/>
          <w:b/>
          <w:bCs/>
          <w:color w:val="auto"/>
          <w:kern w:val="0"/>
          <w:sz w:val="30"/>
          <w:szCs w:val="30"/>
        </w:rPr>
      </w:pPr>
      <w:r>
        <w:rPr>
          <w:rFonts w:hint="eastAsia" w:ascii="仿宋" w:hAnsi="仿宋" w:eastAsia="仿宋" w:cs="仿宋"/>
          <w:b/>
          <w:bCs/>
          <w:color w:val="auto"/>
          <w:kern w:val="0"/>
          <w:sz w:val="30"/>
          <w:szCs w:val="30"/>
          <w:lang w:eastAsia="zh-CN"/>
        </w:rPr>
        <w:t>二、</w:t>
      </w:r>
      <w:r>
        <w:rPr>
          <w:rFonts w:hint="eastAsia" w:ascii="仿宋" w:hAnsi="仿宋" w:eastAsia="仿宋" w:cs="仿宋"/>
          <w:b/>
          <w:bCs/>
          <w:color w:val="auto"/>
          <w:kern w:val="0"/>
          <w:sz w:val="30"/>
          <w:szCs w:val="30"/>
        </w:rPr>
        <w:t>一般公共预算支出情况</w:t>
      </w:r>
    </w:p>
    <w:p w14:paraId="7F691A84">
      <w:pPr>
        <w:widowControl/>
        <w:shd w:val="clear" w:color="auto" w:fill="FFFFFF"/>
        <w:spacing w:line="600" w:lineRule="atLeast"/>
        <w:ind w:firstLine="640"/>
        <w:jc w:val="left"/>
        <w:rPr>
          <w:rFonts w:hint="eastAsia" w:ascii="仿宋" w:hAnsi="仿宋" w:eastAsia="仿宋" w:cs="仿宋"/>
          <w:color w:val="auto"/>
          <w:kern w:val="0"/>
          <w:sz w:val="30"/>
          <w:szCs w:val="30"/>
          <w:lang w:eastAsia="zh-CN"/>
        </w:rPr>
      </w:pPr>
      <w:r>
        <w:rPr>
          <w:rFonts w:hint="eastAsia" w:ascii="仿宋" w:hAnsi="仿宋" w:eastAsia="仿宋" w:cs="仿宋"/>
          <w:color w:val="auto"/>
          <w:kern w:val="0"/>
          <w:sz w:val="30"/>
          <w:szCs w:val="30"/>
        </w:rPr>
        <w:t>我</w:t>
      </w:r>
      <w:r>
        <w:rPr>
          <w:rFonts w:hint="eastAsia" w:ascii="仿宋" w:hAnsi="仿宋" w:eastAsia="仿宋" w:cs="仿宋"/>
          <w:color w:val="auto"/>
          <w:kern w:val="0"/>
          <w:sz w:val="30"/>
          <w:szCs w:val="30"/>
          <w:lang w:eastAsia="zh-CN"/>
        </w:rPr>
        <w:t>中心202</w:t>
      </w:r>
      <w:r>
        <w:rPr>
          <w:rFonts w:hint="eastAsia" w:ascii="仿宋" w:hAnsi="仿宋" w:eastAsia="仿宋" w:cs="仿宋"/>
          <w:color w:val="auto"/>
          <w:kern w:val="0"/>
          <w:sz w:val="30"/>
          <w:szCs w:val="30"/>
          <w:lang w:val="en-US" w:eastAsia="zh-CN"/>
        </w:rPr>
        <w:t>4</w:t>
      </w:r>
      <w:r>
        <w:rPr>
          <w:rFonts w:hint="eastAsia" w:ascii="仿宋" w:hAnsi="仿宋" w:eastAsia="仿宋" w:cs="仿宋"/>
          <w:color w:val="auto"/>
          <w:kern w:val="0"/>
          <w:sz w:val="30"/>
          <w:szCs w:val="30"/>
          <w:lang w:eastAsia="zh-CN"/>
        </w:rPr>
        <w:t>年</w:t>
      </w:r>
      <w:r>
        <w:rPr>
          <w:rFonts w:hint="eastAsia" w:ascii="仿宋" w:hAnsi="仿宋" w:eastAsia="仿宋" w:cs="仿宋"/>
          <w:color w:val="auto"/>
          <w:kern w:val="0"/>
          <w:sz w:val="30"/>
          <w:szCs w:val="30"/>
        </w:rPr>
        <w:t>一般公共预算财政拨款收入</w:t>
      </w:r>
      <w:r>
        <w:rPr>
          <w:rFonts w:hint="eastAsia" w:ascii="仿宋" w:hAnsi="仿宋" w:eastAsia="仿宋" w:cs="仿宋"/>
          <w:color w:val="auto"/>
          <w:kern w:val="0"/>
          <w:sz w:val="30"/>
          <w:szCs w:val="30"/>
          <w:lang w:val="en-US" w:eastAsia="zh-CN"/>
        </w:rPr>
        <w:t>548.78</w:t>
      </w:r>
      <w:r>
        <w:rPr>
          <w:rFonts w:hint="eastAsia" w:ascii="仿宋" w:hAnsi="仿宋" w:eastAsia="仿宋" w:cs="仿宋"/>
          <w:color w:val="auto"/>
          <w:kern w:val="0"/>
          <w:sz w:val="30"/>
          <w:szCs w:val="30"/>
        </w:rPr>
        <w:t>万元，其他收入</w:t>
      </w:r>
      <w:r>
        <w:rPr>
          <w:rFonts w:hint="eastAsia" w:ascii="仿宋" w:hAnsi="仿宋" w:eastAsia="仿宋" w:cs="仿宋"/>
          <w:color w:val="auto"/>
          <w:kern w:val="0"/>
          <w:sz w:val="30"/>
          <w:szCs w:val="30"/>
          <w:lang w:val="en-US" w:eastAsia="zh-CN"/>
        </w:rPr>
        <w:t>394.05</w:t>
      </w:r>
      <w:r>
        <w:rPr>
          <w:rFonts w:hint="eastAsia" w:ascii="仿宋" w:hAnsi="仿宋" w:eastAsia="仿宋" w:cs="仿宋"/>
          <w:color w:val="auto"/>
          <w:kern w:val="0"/>
          <w:sz w:val="30"/>
          <w:szCs w:val="30"/>
        </w:rPr>
        <w:t>万元，全年一般公共预算收入总计</w:t>
      </w:r>
      <w:r>
        <w:rPr>
          <w:rFonts w:hint="eastAsia" w:ascii="仿宋" w:hAnsi="仿宋" w:eastAsia="仿宋" w:cs="仿宋"/>
          <w:color w:val="auto"/>
          <w:kern w:val="0"/>
          <w:sz w:val="30"/>
          <w:szCs w:val="30"/>
          <w:lang w:val="en-US" w:eastAsia="zh-CN"/>
        </w:rPr>
        <w:t>942.83</w:t>
      </w:r>
      <w:r>
        <w:rPr>
          <w:rFonts w:hint="eastAsia" w:ascii="仿宋" w:hAnsi="仿宋" w:eastAsia="仿宋" w:cs="仿宋"/>
          <w:color w:val="auto"/>
          <w:kern w:val="0"/>
          <w:sz w:val="30"/>
          <w:szCs w:val="30"/>
        </w:rPr>
        <w:t>万元。</w:t>
      </w:r>
      <w:r>
        <w:rPr>
          <w:rFonts w:hint="eastAsia" w:ascii="仿宋" w:hAnsi="仿宋" w:eastAsia="仿宋" w:cs="仿宋"/>
          <w:color w:val="auto"/>
          <w:kern w:val="0"/>
          <w:sz w:val="30"/>
          <w:szCs w:val="30"/>
          <w:lang w:eastAsia="zh-CN"/>
        </w:rPr>
        <w:t>202</w:t>
      </w:r>
      <w:r>
        <w:rPr>
          <w:rFonts w:hint="eastAsia" w:ascii="仿宋" w:hAnsi="仿宋" w:eastAsia="仿宋" w:cs="仿宋"/>
          <w:color w:val="auto"/>
          <w:kern w:val="0"/>
          <w:sz w:val="30"/>
          <w:szCs w:val="30"/>
          <w:lang w:val="en-US" w:eastAsia="zh-CN"/>
        </w:rPr>
        <w:t>4</w:t>
      </w:r>
      <w:r>
        <w:rPr>
          <w:rFonts w:hint="eastAsia" w:ascii="仿宋" w:hAnsi="仿宋" w:eastAsia="仿宋" w:cs="仿宋"/>
          <w:color w:val="auto"/>
          <w:kern w:val="0"/>
          <w:sz w:val="30"/>
          <w:szCs w:val="30"/>
          <w:lang w:eastAsia="zh-CN"/>
        </w:rPr>
        <w:t>年</w:t>
      </w:r>
      <w:r>
        <w:rPr>
          <w:rFonts w:hint="eastAsia" w:ascii="仿宋" w:hAnsi="仿宋" w:eastAsia="仿宋" w:cs="仿宋"/>
          <w:color w:val="auto"/>
          <w:kern w:val="0"/>
          <w:sz w:val="30"/>
          <w:szCs w:val="30"/>
        </w:rPr>
        <w:t>一般公共预算支出</w:t>
      </w:r>
      <w:r>
        <w:rPr>
          <w:rFonts w:hint="eastAsia" w:ascii="仿宋" w:hAnsi="仿宋" w:eastAsia="仿宋" w:cs="仿宋"/>
          <w:color w:val="auto"/>
          <w:kern w:val="0"/>
          <w:sz w:val="30"/>
          <w:szCs w:val="30"/>
          <w:lang w:val="en-US" w:eastAsia="zh-CN"/>
        </w:rPr>
        <w:t>940.83</w:t>
      </w:r>
      <w:r>
        <w:rPr>
          <w:rFonts w:hint="eastAsia" w:ascii="仿宋" w:hAnsi="仿宋" w:eastAsia="仿宋" w:cs="仿宋"/>
          <w:color w:val="auto"/>
          <w:kern w:val="0"/>
          <w:sz w:val="30"/>
          <w:szCs w:val="30"/>
        </w:rPr>
        <w:t>万元，其中基本支出</w:t>
      </w:r>
      <w:r>
        <w:rPr>
          <w:rFonts w:hint="eastAsia" w:ascii="仿宋" w:hAnsi="仿宋" w:eastAsia="仿宋" w:cs="仿宋"/>
          <w:color w:val="auto"/>
          <w:kern w:val="0"/>
          <w:sz w:val="30"/>
          <w:szCs w:val="30"/>
          <w:lang w:val="en-US" w:eastAsia="zh-CN"/>
        </w:rPr>
        <w:t>317.09</w:t>
      </w:r>
      <w:r>
        <w:rPr>
          <w:rFonts w:hint="eastAsia" w:ascii="仿宋" w:hAnsi="仿宋" w:eastAsia="仿宋" w:cs="仿宋"/>
          <w:color w:val="auto"/>
          <w:kern w:val="0"/>
          <w:sz w:val="30"/>
          <w:szCs w:val="30"/>
        </w:rPr>
        <w:t>万元，占</w:t>
      </w:r>
      <w:r>
        <w:rPr>
          <w:rFonts w:hint="eastAsia" w:ascii="仿宋" w:hAnsi="仿宋" w:eastAsia="仿宋" w:cs="仿宋"/>
          <w:color w:val="auto"/>
          <w:kern w:val="0"/>
          <w:sz w:val="30"/>
          <w:szCs w:val="30"/>
          <w:lang w:val="en-US" w:eastAsia="zh-CN"/>
        </w:rPr>
        <w:t>33.7</w:t>
      </w:r>
      <w:r>
        <w:rPr>
          <w:rFonts w:hint="eastAsia" w:ascii="仿宋" w:hAnsi="仿宋" w:eastAsia="仿宋" w:cs="仿宋"/>
          <w:color w:val="auto"/>
          <w:kern w:val="0"/>
          <w:sz w:val="30"/>
          <w:szCs w:val="30"/>
        </w:rPr>
        <w:t>%，项目支出</w:t>
      </w:r>
      <w:r>
        <w:rPr>
          <w:rFonts w:hint="eastAsia" w:ascii="仿宋" w:hAnsi="仿宋" w:eastAsia="仿宋" w:cs="仿宋"/>
          <w:color w:val="auto"/>
          <w:kern w:val="0"/>
          <w:sz w:val="30"/>
          <w:szCs w:val="30"/>
          <w:lang w:val="en-US" w:eastAsia="zh-CN"/>
        </w:rPr>
        <w:t>623.74</w:t>
      </w:r>
      <w:r>
        <w:rPr>
          <w:rFonts w:hint="eastAsia" w:ascii="仿宋" w:hAnsi="仿宋" w:eastAsia="仿宋" w:cs="仿宋"/>
          <w:color w:val="auto"/>
          <w:kern w:val="0"/>
          <w:sz w:val="30"/>
          <w:szCs w:val="30"/>
        </w:rPr>
        <w:t>万元，占</w:t>
      </w:r>
      <w:r>
        <w:rPr>
          <w:rFonts w:hint="eastAsia" w:ascii="仿宋" w:hAnsi="仿宋" w:eastAsia="仿宋" w:cs="仿宋"/>
          <w:color w:val="auto"/>
          <w:kern w:val="0"/>
          <w:sz w:val="30"/>
          <w:szCs w:val="30"/>
          <w:lang w:val="en-US" w:eastAsia="zh-CN"/>
        </w:rPr>
        <w:t>66.3</w:t>
      </w:r>
      <w:r>
        <w:rPr>
          <w:rFonts w:hint="eastAsia" w:ascii="仿宋" w:hAnsi="仿宋" w:eastAsia="仿宋" w:cs="仿宋"/>
          <w:color w:val="auto"/>
          <w:kern w:val="0"/>
          <w:sz w:val="30"/>
          <w:szCs w:val="30"/>
        </w:rPr>
        <w:t>%。</w:t>
      </w:r>
      <w:r>
        <w:rPr>
          <w:rFonts w:hint="eastAsia" w:ascii="仿宋" w:hAnsi="仿宋" w:eastAsia="仿宋" w:cs="仿宋"/>
          <w:color w:val="auto"/>
          <w:kern w:val="0"/>
          <w:sz w:val="30"/>
          <w:szCs w:val="30"/>
          <w:lang w:eastAsia="zh-CN"/>
        </w:rPr>
        <w:t>决算数大于年初预算</w:t>
      </w:r>
      <w:r>
        <w:rPr>
          <w:rFonts w:hint="eastAsia" w:ascii="仿宋" w:hAnsi="仿宋" w:eastAsia="仿宋" w:cs="仿宋"/>
          <w:color w:val="auto"/>
          <w:kern w:val="0"/>
          <w:sz w:val="30"/>
          <w:szCs w:val="30"/>
          <w:lang w:val="en-US" w:eastAsia="zh-CN"/>
        </w:rPr>
        <w:t>917.91万元，</w:t>
      </w:r>
      <w:r>
        <w:rPr>
          <w:rFonts w:hint="eastAsia" w:ascii="仿宋" w:hAnsi="仿宋" w:eastAsia="仿宋" w:cs="仿宋"/>
          <w:color w:val="auto"/>
          <w:kern w:val="0"/>
          <w:sz w:val="30"/>
          <w:szCs w:val="30"/>
          <w:lang w:eastAsia="zh-CN"/>
        </w:rPr>
        <w:t>主要是单位收入和年中预算调整增加。</w:t>
      </w:r>
    </w:p>
    <w:p w14:paraId="16B7A3DC">
      <w:pPr>
        <w:widowControl/>
        <w:shd w:val="clear" w:color="auto" w:fill="FFFFFF"/>
        <w:spacing w:line="600" w:lineRule="atLeast"/>
        <w:ind w:firstLine="640"/>
        <w:jc w:val="left"/>
        <w:rPr>
          <w:rFonts w:hint="eastAsia" w:ascii="仿宋" w:hAnsi="仿宋" w:eastAsia="仿宋" w:cs="仿宋"/>
          <w:b/>
          <w:bCs/>
          <w:color w:val="auto"/>
          <w:kern w:val="0"/>
          <w:sz w:val="30"/>
          <w:szCs w:val="30"/>
        </w:rPr>
      </w:pPr>
      <w:r>
        <w:rPr>
          <w:rFonts w:hint="eastAsia" w:ascii="仿宋" w:hAnsi="仿宋" w:eastAsia="仿宋" w:cs="仿宋"/>
          <w:b/>
          <w:bCs/>
          <w:color w:val="auto"/>
          <w:kern w:val="0"/>
          <w:sz w:val="30"/>
          <w:szCs w:val="30"/>
        </w:rPr>
        <w:t>（一）基本支出情况</w:t>
      </w:r>
    </w:p>
    <w:p w14:paraId="7A44E8BC">
      <w:pPr>
        <w:widowControl/>
        <w:shd w:val="clear" w:color="auto" w:fill="FFFFFF"/>
        <w:spacing w:line="600" w:lineRule="atLeast"/>
        <w:ind w:firstLine="640"/>
        <w:jc w:val="left"/>
        <w:rPr>
          <w:rFonts w:hint="eastAsia" w:ascii="仿宋" w:hAnsi="仿宋" w:eastAsia="仿宋" w:cs="仿宋"/>
          <w:color w:val="auto"/>
          <w:kern w:val="0"/>
          <w:sz w:val="30"/>
          <w:szCs w:val="30"/>
          <w:lang w:val="en-US" w:eastAsia="zh-CN"/>
        </w:rPr>
      </w:pPr>
      <w:r>
        <w:rPr>
          <w:rFonts w:hint="eastAsia" w:ascii="仿宋" w:hAnsi="仿宋" w:eastAsia="仿宋" w:cs="仿宋"/>
          <w:color w:val="auto"/>
          <w:kern w:val="0"/>
          <w:sz w:val="30"/>
          <w:szCs w:val="30"/>
        </w:rPr>
        <w:t>基本支出是用于为保障机关正常运转、完成日常工作任务而发生的支出，包括人员经费和日公用经费</w:t>
      </w:r>
      <w:r>
        <w:rPr>
          <w:rFonts w:hint="eastAsia" w:ascii="仿宋" w:hAnsi="仿宋" w:eastAsia="仿宋" w:cs="仿宋"/>
          <w:color w:val="auto"/>
          <w:kern w:val="0"/>
          <w:sz w:val="30"/>
          <w:szCs w:val="30"/>
          <w:lang w:eastAsia="zh-CN"/>
        </w:rPr>
        <w:t>及其他</w:t>
      </w:r>
      <w:r>
        <w:rPr>
          <w:rFonts w:hint="eastAsia" w:ascii="仿宋" w:hAnsi="仿宋" w:eastAsia="仿宋" w:cs="仿宋"/>
          <w:color w:val="auto"/>
          <w:kern w:val="0"/>
          <w:sz w:val="30"/>
          <w:szCs w:val="30"/>
          <w:lang w:val="en-US" w:eastAsia="zh-CN"/>
        </w:rPr>
        <w:t>。全年人员经费168.68万元，商品和服务支出145.01万元，其他支出3.4万元。</w:t>
      </w:r>
    </w:p>
    <w:p w14:paraId="11604714">
      <w:pPr>
        <w:widowControl/>
        <w:shd w:val="clear" w:color="auto" w:fill="FFFFFF"/>
        <w:spacing w:line="600" w:lineRule="atLeast"/>
        <w:ind w:firstLine="640"/>
        <w:jc w:val="left"/>
        <w:rPr>
          <w:rFonts w:hint="eastAsia" w:ascii="仿宋" w:hAnsi="仿宋" w:eastAsia="仿宋" w:cs="仿宋"/>
          <w:b/>
          <w:bCs/>
          <w:color w:val="auto"/>
          <w:kern w:val="0"/>
          <w:sz w:val="30"/>
          <w:szCs w:val="30"/>
        </w:rPr>
      </w:pPr>
      <w:r>
        <w:rPr>
          <w:rFonts w:hint="eastAsia" w:ascii="仿宋" w:hAnsi="仿宋" w:eastAsia="仿宋" w:cs="仿宋"/>
          <w:b/>
          <w:bCs/>
          <w:color w:val="auto"/>
          <w:kern w:val="0"/>
          <w:sz w:val="30"/>
          <w:szCs w:val="30"/>
        </w:rPr>
        <w:t>（</w:t>
      </w:r>
      <w:r>
        <w:rPr>
          <w:rFonts w:hint="eastAsia" w:ascii="仿宋" w:hAnsi="仿宋" w:eastAsia="仿宋" w:cs="仿宋"/>
          <w:b/>
          <w:bCs/>
          <w:color w:val="auto"/>
          <w:kern w:val="0"/>
          <w:sz w:val="30"/>
          <w:szCs w:val="30"/>
          <w:lang w:eastAsia="zh-CN"/>
        </w:rPr>
        <w:t>二</w:t>
      </w:r>
      <w:r>
        <w:rPr>
          <w:rFonts w:hint="eastAsia" w:ascii="仿宋" w:hAnsi="仿宋" w:eastAsia="仿宋" w:cs="仿宋"/>
          <w:b/>
          <w:bCs/>
          <w:color w:val="auto"/>
          <w:kern w:val="0"/>
          <w:sz w:val="30"/>
          <w:szCs w:val="30"/>
        </w:rPr>
        <w:t>）项目支出情况</w:t>
      </w:r>
    </w:p>
    <w:p w14:paraId="0855C6BA">
      <w:pPr>
        <w:widowControl/>
        <w:shd w:val="clear" w:color="auto" w:fill="FFFFFF"/>
        <w:spacing w:line="600" w:lineRule="atLeast"/>
        <w:ind w:firstLine="640"/>
        <w:jc w:val="lef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项目支出是行政单位为完成特定的工作任务或事业发展目标，在基本的预算支出外，财政预算专项安排的支出。</w:t>
      </w:r>
    </w:p>
    <w:p w14:paraId="59595898">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300"/>
        <w:jc w:val="both"/>
        <w:textAlignment w:val="auto"/>
        <w:rPr>
          <w:rFonts w:hint="eastAsia" w:ascii="仿宋" w:hAnsi="仿宋" w:eastAsia="仿宋" w:cs="仿宋"/>
          <w:color w:val="auto"/>
          <w:kern w:val="0"/>
          <w:sz w:val="30"/>
          <w:szCs w:val="30"/>
        </w:rPr>
      </w:pPr>
      <w:r>
        <w:rPr>
          <w:rFonts w:hint="eastAsia" w:ascii="仿宋" w:hAnsi="仿宋" w:eastAsia="仿宋" w:cs="仿宋"/>
          <w:color w:val="auto"/>
          <w:kern w:val="0"/>
          <w:sz w:val="30"/>
          <w:szCs w:val="30"/>
          <w:lang w:eastAsia="zh-CN"/>
        </w:rPr>
        <w:t>202</w:t>
      </w:r>
      <w:r>
        <w:rPr>
          <w:rFonts w:hint="eastAsia" w:ascii="仿宋" w:hAnsi="仿宋" w:eastAsia="仿宋" w:cs="仿宋"/>
          <w:color w:val="auto"/>
          <w:kern w:val="0"/>
          <w:sz w:val="30"/>
          <w:szCs w:val="30"/>
          <w:lang w:val="en-US" w:eastAsia="zh-CN"/>
        </w:rPr>
        <w:t>4</w:t>
      </w:r>
      <w:r>
        <w:rPr>
          <w:rFonts w:hint="eastAsia" w:ascii="仿宋" w:hAnsi="仿宋" w:eastAsia="仿宋" w:cs="仿宋"/>
          <w:color w:val="auto"/>
          <w:kern w:val="0"/>
          <w:sz w:val="30"/>
          <w:szCs w:val="30"/>
          <w:lang w:eastAsia="zh-CN"/>
        </w:rPr>
        <w:t>年区</w:t>
      </w:r>
      <w:r>
        <w:rPr>
          <w:rFonts w:hint="eastAsia" w:ascii="仿宋" w:hAnsi="仿宋" w:eastAsia="仿宋" w:cs="仿宋"/>
          <w:color w:val="auto"/>
          <w:kern w:val="0"/>
          <w:sz w:val="30"/>
          <w:szCs w:val="30"/>
        </w:rPr>
        <w:t>财政批复的项目支出</w:t>
      </w:r>
      <w:r>
        <w:rPr>
          <w:rFonts w:hint="eastAsia" w:ascii="仿宋" w:hAnsi="仿宋" w:eastAsia="仿宋" w:cs="仿宋"/>
          <w:color w:val="auto"/>
          <w:kern w:val="0"/>
          <w:sz w:val="30"/>
          <w:szCs w:val="30"/>
          <w:lang w:val="en-US" w:eastAsia="zh-CN"/>
        </w:rPr>
        <w:t>623.74</w:t>
      </w:r>
      <w:r>
        <w:rPr>
          <w:rFonts w:hint="eastAsia" w:ascii="仿宋" w:hAnsi="仿宋" w:eastAsia="仿宋" w:cs="仿宋"/>
          <w:color w:val="auto"/>
          <w:kern w:val="0"/>
          <w:sz w:val="30"/>
          <w:szCs w:val="30"/>
        </w:rPr>
        <w:t>万元</w:t>
      </w:r>
      <w:r>
        <w:rPr>
          <w:rFonts w:hint="eastAsia" w:ascii="仿宋" w:hAnsi="仿宋" w:eastAsia="仿宋" w:cs="仿宋"/>
          <w:color w:val="auto"/>
          <w:kern w:val="0"/>
          <w:sz w:val="30"/>
          <w:szCs w:val="30"/>
          <w:lang w:eastAsia="zh-CN"/>
        </w:rPr>
        <w:t>，</w:t>
      </w:r>
      <w:r>
        <w:rPr>
          <w:rFonts w:hint="eastAsia" w:ascii="仿宋" w:hAnsi="仿宋" w:eastAsia="仿宋" w:cs="仿宋"/>
          <w:color w:val="auto"/>
          <w:kern w:val="0"/>
          <w:sz w:val="30"/>
          <w:szCs w:val="30"/>
        </w:rPr>
        <w:t>本年实际支出</w:t>
      </w:r>
      <w:r>
        <w:rPr>
          <w:rFonts w:hint="eastAsia" w:ascii="仿宋" w:hAnsi="仿宋" w:eastAsia="仿宋" w:cs="仿宋"/>
          <w:color w:val="auto"/>
          <w:kern w:val="0"/>
          <w:sz w:val="30"/>
          <w:szCs w:val="30"/>
          <w:lang w:val="en-US" w:eastAsia="zh-CN"/>
        </w:rPr>
        <w:t>623.74</w:t>
      </w:r>
      <w:r>
        <w:rPr>
          <w:rFonts w:hint="eastAsia" w:ascii="仿宋" w:hAnsi="仿宋" w:eastAsia="仿宋" w:cs="仿宋"/>
          <w:color w:val="auto"/>
          <w:kern w:val="0"/>
          <w:sz w:val="30"/>
          <w:szCs w:val="30"/>
        </w:rPr>
        <w:t>万元。</w:t>
      </w:r>
    </w:p>
    <w:p w14:paraId="1373D462">
      <w:pPr>
        <w:pStyle w:val="2"/>
        <w:keepNext w:val="0"/>
        <w:keepLines w:val="0"/>
        <w:pageBreakBefore w:val="0"/>
        <w:numPr>
          <w:ilvl w:val="0"/>
          <w:numId w:val="0"/>
        </w:numPr>
        <w:kinsoku/>
        <w:wordWrap/>
        <w:overflowPunct/>
        <w:topLinePunct w:val="0"/>
        <w:autoSpaceDE/>
        <w:autoSpaceDN/>
        <w:bidi w:val="0"/>
        <w:adjustRightInd/>
        <w:snapToGrid/>
        <w:spacing w:after="0" w:line="560" w:lineRule="exact"/>
        <w:ind w:leftChars="300"/>
        <w:jc w:val="both"/>
        <w:textAlignment w:val="auto"/>
        <w:rPr>
          <w:rFonts w:hint="eastAsia" w:ascii="仿宋_GB2312" w:hAnsi="仿宋_GB2312" w:eastAsia="仿宋_GB2312" w:cs="仿宋_GB2312"/>
          <w:color w:val="auto"/>
          <w:kern w:val="0"/>
          <w:sz w:val="32"/>
          <w:szCs w:val="32"/>
          <w:lang w:val="en-US" w:eastAsia="zh-CN" w:bidi="ar-SA"/>
        </w:rPr>
      </w:pPr>
    </w:p>
    <w:p w14:paraId="0C0FFD1B">
      <w:pPr>
        <w:widowControl/>
        <w:autoSpaceDN w:val="0"/>
        <w:spacing w:line="540" w:lineRule="exact"/>
        <w:ind w:firstLine="640" w:firstLineChars="200"/>
        <w:rPr>
          <w:rFonts w:ascii="黑体" w:hAnsi="黑体" w:eastAsia="黑体" w:cs="宋体"/>
          <w:color w:val="auto"/>
          <w:kern w:val="0"/>
          <w:sz w:val="32"/>
          <w:szCs w:val="32"/>
        </w:rPr>
      </w:pPr>
      <w:r>
        <w:rPr>
          <w:rFonts w:hint="eastAsia" w:ascii="黑体" w:hAnsi="黑体" w:eastAsia="黑体" w:cs="宋体"/>
          <w:color w:val="auto"/>
          <w:kern w:val="0"/>
          <w:sz w:val="32"/>
          <w:szCs w:val="32"/>
          <w:lang w:eastAsia="zh-CN"/>
        </w:rPr>
        <w:t>三</w:t>
      </w:r>
      <w:r>
        <w:rPr>
          <w:rFonts w:hint="eastAsia" w:ascii="黑体" w:hAnsi="黑体" w:eastAsia="黑体" w:cs="宋体"/>
          <w:color w:val="auto"/>
          <w:kern w:val="0"/>
          <w:sz w:val="32"/>
          <w:szCs w:val="32"/>
        </w:rPr>
        <w:t>、部门整体支出绩效情况</w:t>
      </w:r>
    </w:p>
    <w:p w14:paraId="31B9106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320" w:firstLineChars="100"/>
        <w:textAlignment w:val="auto"/>
        <w:rPr>
          <w:rFonts w:hint="eastAsia" w:ascii="楷体" w:hAnsi="楷体" w:eastAsia="楷体" w:cs="楷体"/>
          <w:color w:val="auto"/>
          <w:sz w:val="32"/>
          <w:szCs w:val="32"/>
          <w:lang w:eastAsia="zh-CN"/>
        </w:rPr>
      </w:pPr>
      <w:r>
        <w:rPr>
          <w:rFonts w:hint="eastAsia" w:ascii="楷体" w:hAnsi="楷体" w:eastAsia="楷体" w:cs="楷体"/>
          <w:color w:val="auto"/>
          <w:sz w:val="32"/>
          <w:szCs w:val="32"/>
        </w:rPr>
        <w:t>强化自身建设，机关事务的内涵底蕴不断厚实</w:t>
      </w:r>
      <w:r>
        <w:rPr>
          <w:rFonts w:hint="eastAsia" w:ascii="楷体" w:hAnsi="楷体" w:eastAsia="楷体" w:cs="楷体"/>
          <w:color w:val="auto"/>
          <w:sz w:val="32"/>
          <w:szCs w:val="32"/>
          <w:lang w:eastAsia="zh-CN"/>
        </w:rPr>
        <w:t>。</w:t>
      </w:r>
    </w:p>
    <w:p w14:paraId="6BBBA2E7">
      <w:pPr>
        <w:spacing w:line="15" w:lineRule="auto"/>
        <w:jc w:val="both"/>
        <w:rPr>
          <w:rFonts w:hint="eastAsia" w:ascii="仿宋" w:hAnsi="仿宋" w:eastAsia="仿宋" w:cs="仿宋"/>
          <w:color w:val="auto"/>
          <w:sz w:val="32"/>
          <w:szCs w:val="32"/>
        </w:rPr>
      </w:pPr>
      <w:r>
        <w:rPr>
          <w:rFonts w:hint="eastAsia" w:ascii="仿宋" w:hAnsi="仿宋" w:eastAsia="仿宋" w:cs="仿宋"/>
          <w:color w:val="auto"/>
          <w:sz w:val="32"/>
          <w:szCs w:val="32"/>
        </w:rPr>
        <w:t>坚持打铁必须自身硬，持续加强自身建设，着力打造坚强组织领导、严密工作机制和有为后勤队伍，为机关事务高质量发展提供有力支撑。</w:t>
      </w:r>
    </w:p>
    <w:p w14:paraId="6EC5F718">
      <w:pPr>
        <w:spacing w:line="15" w:lineRule="auto"/>
        <w:jc w:val="both"/>
        <w:rPr>
          <w:rFonts w:hint="eastAsia" w:ascii="仿宋" w:hAnsi="仿宋" w:eastAsia="仿宋" w:cs="仿宋"/>
          <w:color w:val="auto"/>
          <w:sz w:val="32"/>
          <w:szCs w:val="32"/>
        </w:rPr>
      </w:pPr>
      <w:r>
        <w:rPr>
          <w:rFonts w:hint="eastAsia" w:ascii="仿宋" w:hAnsi="仿宋" w:eastAsia="仿宋" w:cs="仿宋"/>
          <w:b/>
          <w:bCs/>
          <w:color w:val="auto"/>
          <w:sz w:val="32"/>
          <w:szCs w:val="32"/>
        </w:rPr>
        <w:t>一是强化政治引领，抓好政治机关建设。</w:t>
      </w:r>
      <w:r>
        <w:rPr>
          <w:rFonts w:hint="eastAsia" w:ascii="仿宋" w:hAnsi="仿宋" w:eastAsia="仿宋" w:cs="仿宋"/>
          <w:color w:val="auto"/>
          <w:sz w:val="32"/>
          <w:szCs w:val="32"/>
        </w:rPr>
        <w:t>严格执行党章和党内政治生活准则，按计划召开202</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年度民主生活会、组织生活会等，组织生活制度高质量落实。始终把习近平总书记关于机关事务工作指示作为引领新时代机关事务工作高质量发展的总纲领、总方针、总遵循。今年以来，围绕党的二十大精神，</w:t>
      </w:r>
      <w:r>
        <w:rPr>
          <w:rFonts w:hint="eastAsia" w:ascii="仿宋" w:hAnsi="仿宋" w:eastAsia="仿宋" w:cs="仿宋"/>
          <w:color w:val="auto"/>
          <w:sz w:val="32"/>
          <w:szCs w:val="32"/>
          <w:lang w:eastAsia="zh-CN"/>
        </w:rPr>
        <w:t>二十届三中全会精神、省市印发的《关于落实党政机关习惯过紧日子要求的十条具体措施》等精神，</w:t>
      </w:r>
      <w:r>
        <w:rPr>
          <w:rFonts w:hint="eastAsia" w:ascii="仿宋" w:hAnsi="仿宋" w:eastAsia="仿宋" w:cs="仿宋"/>
          <w:color w:val="auto"/>
          <w:sz w:val="32"/>
          <w:szCs w:val="32"/>
        </w:rPr>
        <w:t>原原本本自觉学、互训辅导集中学、分享探讨深入学、创新载体体验学、进言献策调研学等多种方式</w:t>
      </w:r>
      <w:r>
        <w:rPr>
          <w:rFonts w:hint="eastAsia" w:ascii="仿宋" w:hAnsi="仿宋" w:eastAsia="仿宋" w:cs="仿宋"/>
          <w:color w:val="auto"/>
          <w:sz w:val="32"/>
          <w:szCs w:val="32"/>
          <w:lang w:eastAsia="zh-CN"/>
        </w:rPr>
        <w:t>深入学习，</w:t>
      </w:r>
      <w:r>
        <w:rPr>
          <w:rFonts w:hint="eastAsia" w:ascii="仿宋" w:hAnsi="仿宋" w:eastAsia="仿宋" w:cs="仿宋"/>
          <w:color w:val="auto"/>
          <w:sz w:val="32"/>
          <w:szCs w:val="32"/>
        </w:rPr>
        <w:t>教育引导广大干部职工更加自觉增强“四个意识”、坚定“四个自信”、做到“两个维护”。</w:t>
      </w:r>
    </w:p>
    <w:p w14:paraId="28E77824">
      <w:pPr>
        <w:spacing w:line="15" w:lineRule="auto"/>
        <w:jc w:val="both"/>
        <w:rPr>
          <w:rFonts w:hint="eastAsia" w:ascii="仿宋" w:hAnsi="仿宋" w:eastAsia="仿宋" w:cs="仿宋"/>
          <w:color w:val="auto"/>
          <w:sz w:val="32"/>
          <w:szCs w:val="32"/>
        </w:rPr>
      </w:pPr>
      <w:r>
        <w:rPr>
          <w:rFonts w:hint="eastAsia" w:ascii="仿宋" w:hAnsi="仿宋" w:eastAsia="仿宋" w:cs="仿宋"/>
          <w:b/>
          <w:bCs/>
          <w:color w:val="auto"/>
          <w:sz w:val="32"/>
          <w:szCs w:val="32"/>
        </w:rPr>
        <w:t>二是坚持活动牵引，扎实开展</w:t>
      </w:r>
      <w:r>
        <w:rPr>
          <w:rFonts w:hint="eastAsia" w:ascii="仿宋" w:hAnsi="仿宋" w:eastAsia="仿宋" w:cs="仿宋"/>
          <w:b/>
          <w:bCs/>
          <w:color w:val="auto"/>
          <w:sz w:val="32"/>
          <w:szCs w:val="32"/>
          <w:lang w:eastAsia="zh-CN"/>
        </w:rPr>
        <w:t>党纪学习</w:t>
      </w:r>
      <w:r>
        <w:rPr>
          <w:rFonts w:hint="eastAsia" w:ascii="仿宋" w:hAnsi="仿宋" w:eastAsia="仿宋" w:cs="仿宋"/>
          <w:b/>
          <w:bCs/>
          <w:color w:val="auto"/>
          <w:sz w:val="32"/>
          <w:szCs w:val="32"/>
        </w:rPr>
        <w:t>教育。</w:t>
      </w:r>
      <w:r>
        <w:rPr>
          <w:rFonts w:hint="eastAsia" w:ascii="仿宋" w:hAnsi="仿宋" w:eastAsia="仿宋" w:cs="仿宋"/>
          <w:color w:val="auto"/>
          <w:sz w:val="32"/>
          <w:szCs w:val="32"/>
          <w:lang w:eastAsia="zh-CN"/>
        </w:rPr>
        <w:t>我中心</w:t>
      </w:r>
      <w:r>
        <w:rPr>
          <w:rFonts w:hint="eastAsia" w:ascii="仿宋" w:hAnsi="仿宋" w:eastAsia="仿宋" w:cs="仿宋"/>
          <w:color w:val="auto"/>
          <w:sz w:val="32"/>
          <w:szCs w:val="32"/>
        </w:rPr>
        <w:t>坚决贯彻落实</w:t>
      </w:r>
      <w:r>
        <w:rPr>
          <w:rFonts w:hint="eastAsia" w:ascii="仿宋" w:hAnsi="仿宋" w:eastAsia="仿宋" w:cs="仿宋"/>
          <w:color w:val="auto"/>
          <w:sz w:val="32"/>
          <w:szCs w:val="32"/>
          <w:lang w:eastAsia="zh-CN"/>
        </w:rPr>
        <w:t>区委组织部</w:t>
      </w:r>
      <w:r>
        <w:rPr>
          <w:rFonts w:hint="eastAsia" w:ascii="仿宋" w:hAnsi="仿宋" w:eastAsia="仿宋" w:cs="仿宋"/>
          <w:color w:val="auto"/>
          <w:sz w:val="32"/>
          <w:szCs w:val="32"/>
        </w:rPr>
        <w:t>各项部署任务</w:t>
      </w:r>
      <w:r>
        <w:rPr>
          <w:rFonts w:hint="eastAsia" w:ascii="仿宋" w:hAnsi="仿宋" w:eastAsia="仿宋" w:cs="仿宋"/>
          <w:color w:val="auto"/>
          <w:sz w:val="32"/>
          <w:szCs w:val="32"/>
          <w:lang w:eastAsia="zh-CN"/>
        </w:rPr>
        <w:t>。</w:t>
      </w:r>
      <w:r>
        <w:rPr>
          <w:rFonts w:hint="eastAsia" w:ascii="仿宋" w:hAnsi="仿宋" w:eastAsia="仿宋" w:cs="仿宋"/>
          <w:i w:val="0"/>
          <w:iCs w:val="0"/>
          <w:caps w:val="0"/>
          <w:color w:val="auto"/>
          <w:spacing w:val="0"/>
          <w:sz w:val="32"/>
          <w:szCs w:val="32"/>
          <w:lang w:val="en-US" w:eastAsia="zh-CN"/>
        </w:rPr>
        <w:t>4</w:t>
      </w:r>
      <w:r>
        <w:rPr>
          <w:rFonts w:hint="eastAsia" w:ascii="仿宋" w:hAnsi="仿宋" w:eastAsia="仿宋" w:cs="仿宋"/>
          <w:i w:val="0"/>
          <w:iCs w:val="0"/>
          <w:caps w:val="0"/>
          <w:color w:val="auto"/>
          <w:spacing w:val="0"/>
          <w:sz w:val="32"/>
          <w:szCs w:val="32"/>
        </w:rPr>
        <w:t>月</w:t>
      </w:r>
      <w:r>
        <w:rPr>
          <w:rFonts w:hint="eastAsia" w:ascii="仿宋" w:hAnsi="仿宋" w:eastAsia="仿宋" w:cs="仿宋"/>
          <w:i w:val="0"/>
          <w:iCs w:val="0"/>
          <w:caps w:val="0"/>
          <w:color w:val="auto"/>
          <w:spacing w:val="0"/>
          <w:sz w:val="32"/>
          <w:szCs w:val="32"/>
          <w:lang w:val="en-US" w:eastAsia="zh-CN"/>
        </w:rPr>
        <w:t>15</w:t>
      </w:r>
      <w:r>
        <w:rPr>
          <w:rFonts w:hint="eastAsia" w:ascii="仿宋" w:hAnsi="仿宋" w:eastAsia="仿宋" w:cs="仿宋"/>
          <w:i w:val="0"/>
          <w:iCs w:val="0"/>
          <w:caps w:val="0"/>
          <w:color w:val="auto"/>
          <w:spacing w:val="0"/>
          <w:sz w:val="32"/>
          <w:szCs w:val="32"/>
        </w:rPr>
        <w:t>日，</w:t>
      </w:r>
      <w:r>
        <w:rPr>
          <w:rFonts w:hint="eastAsia" w:ascii="仿宋" w:hAnsi="仿宋" w:eastAsia="仿宋" w:cs="仿宋"/>
          <w:i w:val="0"/>
          <w:iCs w:val="0"/>
          <w:caps w:val="0"/>
          <w:color w:val="auto"/>
          <w:spacing w:val="0"/>
          <w:sz w:val="32"/>
          <w:szCs w:val="32"/>
          <w:lang w:eastAsia="zh-CN"/>
        </w:rPr>
        <w:t>我中心召开党纪学习教育部署会议</w:t>
      </w:r>
      <w:r>
        <w:rPr>
          <w:rFonts w:hint="eastAsia" w:ascii="仿宋" w:hAnsi="仿宋" w:eastAsia="仿宋" w:cs="仿宋"/>
          <w:i w:val="0"/>
          <w:iCs w:val="0"/>
          <w:caps w:val="0"/>
          <w:color w:val="auto"/>
          <w:spacing w:val="0"/>
          <w:sz w:val="32"/>
          <w:szCs w:val="32"/>
        </w:rPr>
        <w:t>。</w:t>
      </w:r>
      <w:r>
        <w:rPr>
          <w:rFonts w:hint="eastAsia" w:ascii="仿宋" w:hAnsi="仿宋" w:eastAsia="仿宋" w:cs="仿宋"/>
          <w:i w:val="0"/>
          <w:iCs w:val="0"/>
          <w:caps w:val="0"/>
          <w:color w:val="auto"/>
          <w:spacing w:val="0"/>
          <w:sz w:val="32"/>
          <w:szCs w:val="32"/>
          <w:lang w:eastAsia="zh-CN"/>
        </w:rPr>
        <w:t>传达学习了习总书记关于党纪学习教育重要讲话精神，研究部署我中心党纪学习教育工作。截止目前，</w:t>
      </w:r>
      <w:r>
        <w:rPr>
          <w:rFonts w:hint="eastAsia" w:ascii="仿宋" w:hAnsi="仿宋" w:eastAsia="仿宋" w:cs="仿宋"/>
          <w:color w:val="auto"/>
          <w:sz w:val="32"/>
          <w:szCs w:val="32"/>
        </w:rPr>
        <w:t>理论学习中心组</w:t>
      </w:r>
      <w:r>
        <w:rPr>
          <w:rFonts w:hint="eastAsia" w:ascii="仿宋" w:hAnsi="仿宋" w:eastAsia="仿宋" w:cs="仿宋"/>
          <w:i w:val="0"/>
          <w:iCs w:val="0"/>
          <w:caps w:val="0"/>
          <w:color w:val="auto"/>
          <w:spacing w:val="0"/>
          <w:sz w:val="32"/>
          <w:szCs w:val="32"/>
          <w:lang w:eastAsia="zh-CN"/>
        </w:rPr>
        <w:t>专题学习</w:t>
      </w:r>
      <w:r>
        <w:rPr>
          <w:rFonts w:hint="eastAsia" w:ascii="仿宋" w:hAnsi="仿宋" w:eastAsia="仿宋" w:cs="仿宋"/>
          <w:i w:val="0"/>
          <w:iCs w:val="0"/>
          <w:caps w:val="0"/>
          <w:color w:val="auto"/>
          <w:spacing w:val="0"/>
          <w:sz w:val="32"/>
          <w:szCs w:val="32"/>
          <w:lang w:val="en-US" w:eastAsia="zh-CN"/>
        </w:rPr>
        <w:t>4次，党员集中学习研讨4次，通过</w:t>
      </w:r>
      <w:r>
        <w:rPr>
          <w:rFonts w:hint="eastAsia" w:ascii="仿宋" w:hAnsi="仿宋" w:eastAsia="仿宋" w:cs="仿宋"/>
          <w:i w:val="0"/>
          <w:iCs w:val="0"/>
          <w:caps w:val="0"/>
          <w:color w:val="auto"/>
          <w:spacing w:val="0"/>
          <w:sz w:val="32"/>
          <w:szCs w:val="32"/>
          <w:lang w:eastAsia="zh-CN"/>
        </w:rPr>
        <w:t>党组书记上专题党课，支部书记</w:t>
      </w:r>
      <w:r>
        <w:rPr>
          <w:rFonts w:hint="eastAsia" w:ascii="仿宋" w:hAnsi="仿宋" w:eastAsia="仿宋" w:cs="仿宋"/>
          <w:i w:val="0"/>
          <w:iCs w:val="0"/>
          <w:caps w:val="0"/>
          <w:color w:val="auto"/>
          <w:spacing w:val="0"/>
          <w:sz w:val="32"/>
          <w:szCs w:val="32"/>
        </w:rPr>
        <w:t>深入讲解</w:t>
      </w:r>
      <w:r>
        <w:rPr>
          <w:rFonts w:hint="eastAsia" w:ascii="仿宋" w:hAnsi="仿宋" w:eastAsia="仿宋" w:cs="仿宋"/>
          <w:i w:val="0"/>
          <w:iCs w:val="0"/>
          <w:caps w:val="0"/>
          <w:color w:val="auto"/>
          <w:spacing w:val="0"/>
          <w:sz w:val="32"/>
          <w:szCs w:val="32"/>
          <w:lang w:eastAsia="zh-CN"/>
        </w:rPr>
        <w:t>新修订的</w:t>
      </w:r>
      <w:r>
        <w:rPr>
          <w:rFonts w:hint="eastAsia" w:ascii="仿宋" w:hAnsi="仿宋" w:eastAsia="仿宋" w:cs="仿宋"/>
          <w:i w:val="0"/>
          <w:iCs w:val="0"/>
          <w:caps w:val="0"/>
          <w:color w:val="auto"/>
          <w:spacing w:val="0"/>
          <w:sz w:val="32"/>
          <w:szCs w:val="32"/>
        </w:rPr>
        <w:t>《中国共产党纪律处分条例》</w:t>
      </w:r>
      <w:r>
        <w:rPr>
          <w:rFonts w:hint="eastAsia" w:ascii="仿宋" w:hAnsi="仿宋" w:eastAsia="仿宋" w:cs="仿宋"/>
          <w:i w:val="0"/>
          <w:iCs w:val="0"/>
          <w:caps w:val="0"/>
          <w:color w:val="auto"/>
          <w:spacing w:val="0"/>
          <w:sz w:val="32"/>
          <w:szCs w:val="32"/>
          <w:lang w:eastAsia="zh-CN"/>
        </w:rPr>
        <w:t>等方式融会贯通学。采取组织党员</w:t>
      </w:r>
      <w:r>
        <w:rPr>
          <w:rFonts w:hint="eastAsia" w:ascii="仿宋" w:hAnsi="仿宋" w:eastAsia="仿宋" w:cs="仿宋"/>
          <w:i w:val="0"/>
          <w:iCs w:val="0"/>
          <w:caps w:val="0"/>
          <w:color w:val="auto"/>
          <w:spacing w:val="0"/>
          <w:sz w:val="32"/>
          <w:szCs w:val="32"/>
        </w:rPr>
        <w:t>观看专题</w:t>
      </w:r>
      <w:r>
        <w:rPr>
          <w:rFonts w:hint="eastAsia" w:ascii="仿宋" w:hAnsi="仿宋" w:eastAsia="仿宋" w:cs="仿宋"/>
          <w:i w:val="0"/>
          <w:iCs w:val="0"/>
          <w:caps w:val="0"/>
          <w:color w:val="auto"/>
          <w:spacing w:val="0"/>
          <w:sz w:val="32"/>
          <w:szCs w:val="32"/>
          <w:lang w:eastAsia="zh-CN"/>
        </w:rPr>
        <w:t>教育</w:t>
      </w:r>
      <w:r>
        <w:rPr>
          <w:rFonts w:hint="eastAsia" w:ascii="仿宋" w:hAnsi="仿宋" w:eastAsia="仿宋" w:cs="仿宋"/>
          <w:i w:val="0"/>
          <w:iCs w:val="0"/>
          <w:caps w:val="0"/>
          <w:color w:val="auto"/>
          <w:spacing w:val="0"/>
          <w:sz w:val="32"/>
          <w:szCs w:val="32"/>
        </w:rPr>
        <w:t>片和集中自学、交流研讨等方式</w:t>
      </w:r>
      <w:r>
        <w:rPr>
          <w:rFonts w:hint="eastAsia" w:ascii="仿宋" w:hAnsi="仿宋" w:eastAsia="仿宋" w:cs="仿宋"/>
          <w:i w:val="0"/>
          <w:iCs w:val="0"/>
          <w:caps w:val="0"/>
          <w:color w:val="auto"/>
          <w:spacing w:val="0"/>
          <w:sz w:val="32"/>
          <w:szCs w:val="32"/>
          <w:lang w:eastAsia="zh-CN"/>
        </w:rPr>
        <w:t>，</w:t>
      </w:r>
      <w:r>
        <w:rPr>
          <w:rFonts w:hint="eastAsia" w:ascii="仿宋" w:hAnsi="仿宋" w:eastAsia="仿宋" w:cs="仿宋"/>
          <w:i w:val="0"/>
          <w:iCs w:val="0"/>
          <w:caps w:val="0"/>
          <w:color w:val="auto"/>
          <w:spacing w:val="0"/>
          <w:sz w:val="32"/>
          <w:szCs w:val="32"/>
        </w:rPr>
        <w:t>推动党纪学习教育走深走实</w:t>
      </w:r>
      <w:r>
        <w:rPr>
          <w:rFonts w:hint="eastAsia" w:ascii="仿宋" w:hAnsi="仿宋" w:eastAsia="仿宋" w:cs="仿宋"/>
          <w:i w:val="0"/>
          <w:iCs w:val="0"/>
          <w:caps w:val="0"/>
          <w:color w:val="auto"/>
          <w:spacing w:val="0"/>
          <w:sz w:val="32"/>
          <w:szCs w:val="32"/>
          <w:lang w:eastAsia="zh-CN"/>
        </w:rPr>
        <w:t>。学习</w:t>
      </w:r>
      <w:r>
        <w:rPr>
          <w:rFonts w:hint="eastAsia" w:ascii="仿宋" w:hAnsi="仿宋" w:eastAsia="仿宋" w:cs="仿宋"/>
          <w:i w:val="0"/>
          <w:iCs w:val="0"/>
          <w:caps w:val="0"/>
          <w:color w:val="auto"/>
          <w:spacing w:val="0"/>
          <w:sz w:val="32"/>
          <w:szCs w:val="32"/>
        </w:rPr>
        <w:t>典型案例，以身边事教育身边人，引导党员干部知敬畏、存戒惧、守底线。</w:t>
      </w:r>
      <w:r>
        <w:rPr>
          <w:rFonts w:hint="eastAsia" w:ascii="仿宋" w:hAnsi="仿宋" w:eastAsia="仿宋" w:cs="仿宋"/>
          <w:color w:val="auto"/>
          <w:sz w:val="32"/>
          <w:szCs w:val="32"/>
        </w:rPr>
        <w:t>坚持融会贯通学。支部结合自身实际，分别组织了党员赴</w:t>
      </w:r>
      <w:r>
        <w:rPr>
          <w:rFonts w:hint="eastAsia" w:ascii="仿宋" w:hAnsi="仿宋" w:eastAsia="仿宋" w:cs="仿宋"/>
          <w:color w:val="auto"/>
          <w:sz w:val="32"/>
          <w:szCs w:val="32"/>
          <w:lang w:eastAsia="zh-CN"/>
        </w:rPr>
        <w:t>丰堆仑</w:t>
      </w:r>
      <w:r>
        <w:rPr>
          <w:rFonts w:hint="eastAsia" w:ascii="仿宋" w:hAnsi="仿宋" w:eastAsia="仿宋" w:cs="仿宋"/>
          <w:color w:val="auto"/>
          <w:sz w:val="32"/>
          <w:szCs w:val="32"/>
        </w:rPr>
        <w:t>开展缅怀烈士活动、赴</w:t>
      </w:r>
      <w:r>
        <w:rPr>
          <w:rFonts w:hint="eastAsia" w:ascii="仿宋" w:hAnsi="仿宋" w:eastAsia="仿宋" w:cs="仿宋"/>
          <w:color w:val="auto"/>
          <w:sz w:val="32"/>
          <w:szCs w:val="32"/>
          <w:lang w:eastAsia="zh-CN"/>
        </w:rPr>
        <w:t>长春镇和平村开展走访慰问活动、赴经开区清水潭社区开展志愿服务</w:t>
      </w:r>
      <w:r>
        <w:rPr>
          <w:rFonts w:hint="eastAsia" w:ascii="仿宋" w:hAnsi="仿宋" w:eastAsia="仿宋" w:cs="仿宋"/>
          <w:color w:val="auto"/>
          <w:sz w:val="32"/>
          <w:szCs w:val="32"/>
        </w:rPr>
        <w:t>活动</w:t>
      </w:r>
      <w:r>
        <w:rPr>
          <w:rFonts w:hint="eastAsia" w:ascii="仿宋" w:hAnsi="仿宋" w:eastAsia="仿宋" w:cs="仿宋"/>
          <w:color w:val="auto"/>
          <w:sz w:val="32"/>
          <w:szCs w:val="32"/>
          <w:lang w:eastAsia="zh-CN"/>
        </w:rPr>
        <w:t>等</w:t>
      </w:r>
      <w:r>
        <w:rPr>
          <w:rFonts w:hint="eastAsia" w:ascii="仿宋" w:hAnsi="仿宋" w:eastAsia="仿宋" w:cs="仿宋"/>
          <w:color w:val="auto"/>
          <w:sz w:val="32"/>
          <w:szCs w:val="32"/>
        </w:rPr>
        <w:t>。</w:t>
      </w:r>
    </w:p>
    <w:p w14:paraId="4D7B222D">
      <w:pPr>
        <w:spacing w:line="15" w:lineRule="auto"/>
        <w:jc w:val="both"/>
        <w:rPr>
          <w:rFonts w:hint="eastAsia" w:ascii="仿宋" w:hAnsi="仿宋" w:eastAsia="仿宋" w:cs="仿宋"/>
          <w:color w:val="auto"/>
          <w:sz w:val="32"/>
          <w:szCs w:val="32"/>
        </w:rPr>
      </w:pPr>
      <w:r>
        <w:rPr>
          <w:rFonts w:hint="eastAsia" w:ascii="仿宋" w:hAnsi="仿宋" w:eastAsia="仿宋" w:cs="仿宋"/>
          <w:b/>
          <w:bCs/>
          <w:color w:val="auto"/>
          <w:sz w:val="32"/>
          <w:szCs w:val="32"/>
        </w:rPr>
        <w:t>三是持续改进作风，抓好后勤队伍建设。</w:t>
      </w:r>
      <w:r>
        <w:rPr>
          <w:rFonts w:hint="eastAsia" w:ascii="仿宋" w:hAnsi="仿宋" w:eastAsia="仿宋" w:cs="仿宋"/>
          <w:color w:val="auto"/>
          <w:sz w:val="32"/>
          <w:szCs w:val="32"/>
        </w:rPr>
        <w:t>持续优化后勤干部队伍。教育引导广大干部加强实践锻炼、专业训练，在急难险重任务中不断强化能力素质，完善从严培养选拔优秀年轻干部常态化工作机制，选派</w:t>
      </w:r>
      <w:r>
        <w:rPr>
          <w:rFonts w:hint="eastAsia" w:ascii="仿宋" w:hAnsi="仿宋" w:eastAsia="仿宋" w:cs="仿宋"/>
          <w:color w:val="auto"/>
          <w:sz w:val="32"/>
          <w:szCs w:val="32"/>
          <w:lang w:eastAsia="zh-CN"/>
        </w:rPr>
        <w:t>一名同志赴广州省云浮市司法局完成为期</w:t>
      </w:r>
      <w:r>
        <w:rPr>
          <w:rFonts w:hint="eastAsia" w:ascii="仿宋" w:hAnsi="仿宋" w:eastAsia="仿宋" w:cs="仿宋"/>
          <w:color w:val="auto"/>
          <w:sz w:val="32"/>
          <w:szCs w:val="32"/>
          <w:lang w:val="en-US" w:eastAsia="zh-CN"/>
        </w:rPr>
        <w:t>3个月</w:t>
      </w:r>
      <w:r>
        <w:rPr>
          <w:rFonts w:hint="eastAsia" w:ascii="仿宋" w:hAnsi="仿宋" w:eastAsia="仿宋" w:cs="仿宋"/>
          <w:color w:val="auto"/>
          <w:sz w:val="32"/>
          <w:szCs w:val="32"/>
        </w:rPr>
        <w:t>跟班学习。</w:t>
      </w:r>
      <w:r>
        <w:rPr>
          <w:rFonts w:hint="eastAsia" w:ascii="仿宋" w:hAnsi="仿宋" w:eastAsia="仿宋" w:cs="仿宋"/>
          <w:color w:val="auto"/>
          <w:sz w:val="32"/>
          <w:szCs w:val="32"/>
          <w:lang w:eastAsia="zh-CN"/>
        </w:rPr>
        <w:t>一名党员被记三等功一次。</w:t>
      </w:r>
      <w:r>
        <w:rPr>
          <w:rFonts w:hint="eastAsia" w:ascii="仿宋" w:hAnsi="仿宋" w:eastAsia="仿宋" w:cs="仿宋"/>
          <w:color w:val="auto"/>
          <w:sz w:val="32"/>
          <w:szCs w:val="32"/>
        </w:rPr>
        <w:t>鼓励干部职工在综合素质和工作技能上加强自我提升，激发干事创业的激情。</w:t>
      </w:r>
    </w:p>
    <w:p w14:paraId="3AAF246D">
      <w:pPr>
        <w:spacing w:line="15" w:lineRule="auto"/>
        <w:jc w:val="both"/>
        <w:rPr>
          <w:rFonts w:hint="eastAsia" w:ascii="仿宋" w:hAnsi="仿宋" w:eastAsia="仿宋" w:cs="仿宋"/>
          <w:sz w:val="32"/>
          <w:szCs w:val="32"/>
        </w:rPr>
      </w:pPr>
      <w:r>
        <w:rPr>
          <w:rFonts w:hint="eastAsia" w:ascii="楷体" w:hAnsi="楷体" w:eastAsia="楷体" w:cs="楷体"/>
          <w:b/>
          <w:bCs/>
          <w:sz w:val="32"/>
          <w:szCs w:val="32"/>
          <w:lang w:eastAsia="zh-CN"/>
        </w:rPr>
        <w:t>四</w:t>
      </w:r>
      <w:r>
        <w:rPr>
          <w:rFonts w:hint="eastAsia" w:ascii="楷体" w:hAnsi="楷体" w:eastAsia="楷体" w:cs="楷体"/>
          <w:b/>
          <w:bCs/>
          <w:sz w:val="32"/>
          <w:szCs w:val="32"/>
        </w:rPr>
        <w:t>是围绕“两个更好服务”持续用力。</w:t>
      </w:r>
      <w:r>
        <w:rPr>
          <w:rFonts w:hint="eastAsia" w:ascii="仿宋" w:hAnsi="仿宋" w:eastAsia="仿宋" w:cs="仿宋"/>
          <w:sz w:val="32"/>
          <w:szCs w:val="32"/>
        </w:rPr>
        <w:t>树牢更好服务</w:t>
      </w:r>
      <w:r>
        <w:rPr>
          <w:rFonts w:hint="eastAsia" w:ascii="仿宋" w:hAnsi="仿宋" w:eastAsia="仿宋" w:cs="仿宋"/>
          <w:sz w:val="32"/>
          <w:szCs w:val="32"/>
          <w:lang w:eastAsia="zh-CN"/>
        </w:rPr>
        <w:t>区委区政府</w:t>
      </w:r>
      <w:r>
        <w:rPr>
          <w:rFonts w:hint="eastAsia" w:ascii="仿宋" w:hAnsi="仿宋" w:eastAsia="仿宋" w:cs="仿宋"/>
          <w:sz w:val="32"/>
          <w:szCs w:val="32"/>
        </w:rPr>
        <w:t>中心工作的意识，积极推动机关事务工作由被动服务向主动服务、传统服务向创新服务、单一服务向多元服务的转变。围绕</w:t>
      </w:r>
      <w:r>
        <w:rPr>
          <w:rFonts w:hint="eastAsia" w:ascii="仿宋" w:hAnsi="仿宋" w:eastAsia="仿宋" w:cs="仿宋"/>
          <w:sz w:val="32"/>
          <w:szCs w:val="32"/>
          <w:lang w:eastAsia="zh-CN"/>
        </w:rPr>
        <w:t>院内</w:t>
      </w:r>
      <w:r>
        <w:rPr>
          <w:rFonts w:hint="eastAsia" w:ascii="仿宋" w:hAnsi="仿宋" w:eastAsia="仿宋" w:cs="仿宋"/>
          <w:sz w:val="32"/>
          <w:szCs w:val="32"/>
        </w:rPr>
        <w:t>干职工办公需求，在食堂供餐、停车、安保、物业保洁等方面提升、优化。</w:t>
      </w:r>
    </w:p>
    <w:p w14:paraId="1B93A626">
      <w:pPr>
        <w:spacing w:line="15" w:lineRule="auto"/>
        <w:jc w:val="both"/>
        <w:rPr>
          <w:rFonts w:hint="eastAsia" w:ascii="仿宋" w:hAnsi="仿宋" w:eastAsia="仿宋" w:cs="仿宋"/>
          <w:sz w:val="32"/>
          <w:szCs w:val="32"/>
          <w:lang w:eastAsia="zh-CN"/>
        </w:rPr>
      </w:pPr>
      <w:r>
        <w:rPr>
          <w:rFonts w:hint="eastAsia" w:ascii="楷体" w:hAnsi="楷体" w:eastAsia="楷体" w:cs="楷体"/>
          <w:b/>
          <w:bCs/>
          <w:sz w:val="32"/>
          <w:szCs w:val="32"/>
          <w:lang w:eastAsia="zh-CN"/>
        </w:rPr>
        <w:t>五</w:t>
      </w:r>
      <w:r>
        <w:rPr>
          <w:rFonts w:hint="eastAsia" w:ascii="楷体" w:hAnsi="楷体" w:eastAsia="楷体" w:cs="楷体"/>
          <w:b/>
          <w:bCs/>
          <w:sz w:val="32"/>
          <w:szCs w:val="32"/>
        </w:rPr>
        <w:t>是在强化管理职能上持续用力。</w:t>
      </w:r>
      <w:r>
        <w:rPr>
          <w:rFonts w:hint="eastAsia" w:ascii="仿宋" w:hAnsi="仿宋" w:eastAsia="仿宋" w:cs="仿宋"/>
          <w:sz w:val="32"/>
          <w:szCs w:val="32"/>
        </w:rPr>
        <w:t>加强“管得严”“管得住”“管得好”三位一体的管理体系建设，在更好服务治理体系和治理能力现代化上发挥职能作用。严格执行中央八项规定，强化“红线”意识，建立完善相关制度，充分发挥</w:t>
      </w:r>
      <w:r>
        <w:rPr>
          <w:rFonts w:hint="eastAsia" w:ascii="仿宋" w:hAnsi="仿宋" w:eastAsia="仿宋" w:cs="仿宋"/>
          <w:sz w:val="32"/>
          <w:szCs w:val="32"/>
          <w:lang w:eastAsia="zh-CN"/>
        </w:rPr>
        <w:t>了办公用房和公务用车的</w:t>
      </w:r>
      <w:r>
        <w:rPr>
          <w:rFonts w:hint="eastAsia" w:ascii="仿宋" w:hAnsi="仿宋" w:eastAsia="仿宋" w:cs="仿宋"/>
          <w:sz w:val="32"/>
          <w:szCs w:val="32"/>
        </w:rPr>
        <w:t>监督职能作用</w:t>
      </w:r>
      <w:r>
        <w:rPr>
          <w:rFonts w:hint="eastAsia" w:ascii="仿宋" w:hAnsi="仿宋" w:eastAsia="仿宋" w:cs="仿宋"/>
          <w:sz w:val="32"/>
          <w:szCs w:val="32"/>
          <w:lang w:eastAsia="zh-CN"/>
        </w:rPr>
        <w:t>。</w:t>
      </w:r>
    </w:p>
    <w:p w14:paraId="501C3FF7">
      <w:pPr>
        <w:widowControl/>
        <w:numPr>
          <w:ilvl w:val="0"/>
          <w:numId w:val="0"/>
        </w:numPr>
        <w:autoSpaceDN w:val="0"/>
        <w:spacing w:line="540" w:lineRule="exact"/>
        <w:ind w:left="480" w:leftChars="0"/>
        <w:rPr>
          <w:rFonts w:hint="eastAsia" w:ascii="黑体" w:hAnsi="黑体" w:eastAsia="黑体" w:cs="宋体"/>
          <w:color w:val="000000"/>
          <w:kern w:val="0"/>
          <w:sz w:val="32"/>
          <w:szCs w:val="32"/>
        </w:rPr>
      </w:pPr>
      <w:r>
        <w:rPr>
          <w:rFonts w:hint="eastAsia" w:ascii="黑体" w:hAnsi="黑体" w:eastAsia="黑体" w:cs="宋体"/>
          <w:b/>
          <w:bCs/>
          <w:color w:val="000000"/>
          <w:kern w:val="0"/>
          <w:sz w:val="32"/>
          <w:szCs w:val="32"/>
          <w:lang w:eastAsia="zh-CN"/>
        </w:rPr>
        <w:t>四、</w:t>
      </w:r>
      <w:r>
        <w:rPr>
          <w:rFonts w:hint="eastAsia" w:ascii="黑体" w:hAnsi="黑体" w:eastAsia="黑体" w:cs="宋体"/>
          <w:b/>
          <w:bCs/>
          <w:color w:val="000000"/>
          <w:kern w:val="0"/>
          <w:sz w:val="32"/>
          <w:szCs w:val="32"/>
        </w:rPr>
        <w:t>总体评</w:t>
      </w:r>
      <w:r>
        <w:rPr>
          <w:rFonts w:hint="eastAsia" w:ascii="黑体" w:hAnsi="黑体" w:eastAsia="黑体" w:cs="宋体"/>
          <w:color w:val="000000"/>
          <w:kern w:val="0"/>
          <w:sz w:val="32"/>
          <w:szCs w:val="32"/>
        </w:rPr>
        <w:t>价和自评得分情况</w:t>
      </w:r>
    </w:p>
    <w:p w14:paraId="12103FBA">
      <w:pPr>
        <w:spacing w:line="15" w:lineRule="auto"/>
        <w:jc w:val="both"/>
        <w:rPr>
          <w:rFonts w:hint="eastAsia" w:ascii="仿宋" w:hAnsi="仿宋" w:eastAsia="方正小标宋简体"/>
          <w:color w:val="auto"/>
          <w:sz w:val="32"/>
          <w:szCs w:val="32"/>
          <w:lang w:eastAsia="zh-CN"/>
        </w:rPr>
      </w:pPr>
    </w:p>
    <w:p w14:paraId="66EFC0B8">
      <w:pPr>
        <w:spacing w:line="15" w:lineRule="auto"/>
        <w:jc w:val="both"/>
        <w:rPr>
          <w:rFonts w:hint="eastAsia" w:ascii="仿宋" w:hAnsi="仿宋" w:eastAsia="仿宋" w:cs="仿宋"/>
          <w:sz w:val="32"/>
          <w:szCs w:val="32"/>
          <w:lang w:eastAsia="zh-CN"/>
        </w:rPr>
      </w:pPr>
      <w:r>
        <w:rPr>
          <w:rFonts w:hint="eastAsia" w:ascii="仿宋" w:hAnsi="仿宋" w:eastAsia="仿宋" w:cs="仿宋"/>
          <w:sz w:val="32"/>
          <w:szCs w:val="32"/>
          <w:lang w:eastAsia="zh-CN"/>
        </w:rPr>
        <w:t>根据预算绩效管理要求，本单位组织对202</w:t>
      </w:r>
      <w:r>
        <w:rPr>
          <w:rFonts w:hint="eastAsia" w:ascii="仿宋" w:hAnsi="仿宋" w:eastAsia="仿宋" w:cs="仿宋"/>
          <w:sz w:val="32"/>
          <w:szCs w:val="32"/>
          <w:lang w:val="en-US" w:eastAsia="zh-CN"/>
        </w:rPr>
        <w:t>4</w:t>
      </w:r>
      <w:r>
        <w:rPr>
          <w:rFonts w:hint="eastAsia" w:ascii="仿宋" w:hAnsi="仿宋" w:eastAsia="仿宋" w:cs="仿宋"/>
          <w:sz w:val="32"/>
          <w:szCs w:val="32"/>
          <w:lang w:eastAsia="zh-CN"/>
        </w:rPr>
        <w:t>度部门整体支出全面开展绩效自评，我中心围绕加强和深化机关大院管理工作，做了大量的工作，较好地完成了各项任务，全面促进了机关后勤管理水平、院内管理品质得到了提升。一是精抓队伍建设，实现院内管理水平再提升；二是抓院内安全管理，实现机关院内安全保证再提升；三是精抓院内环境卫生，实现机关院内环境隔行再提升；四是精抓车辆停放智慧管理，实现院内车辆停放智慧管理水平再提升；五是精抓院内绿化管理，实现机关大院形象再提升。</w:t>
      </w:r>
    </w:p>
    <w:p w14:paraId="5490DC6A">
      <w:pPr>
        <w:spacing w:line="15" w:lineRule="auto"/>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2024年度整体支出绩效</w:t>
      </w:r>
      <w:r>
        <w:rPr>
          <w:rFonts w:hint="eastAsia" w:ascii="仿宋" w:hAnsi="仿宋" w:eastAsia="仿宋" w:cs="仿宋"/>
          <w:sz w:val="32"/>
          <w:szCs w:val="32"/>
          <w:lang w:eastAsia="zh-CN"/>
        </w:rPr>
        <w:t>自评得分</w:t>
      </w:r>
      <w:r>
        <w:rPr>
          <w:rFonts w:hint="eastAsia" w:ascii="仿宋" w:hAnsi="仿宋" w:eastAsia="仿宋" w:cs="仿宋"/>
          <w:sz w:val="32"/>
          <w:szCs w:val="32"/>
          <w:lang w:val="en-US" w:eastAsia="zh-CN"/>
        </w:rPr>
        <w:t>99.98分。</w:t>
      </w:r>
    </w:p>
    <w:p w14:paraId="7DFD14FE">
      <w:pPr>
        <w:spacing w:line="15" w:lineRule="auto"/>
        <w:jc w:val="both"/>
        <w:rPr>
          <w:rFonts w:hint="eastAsia" w:ascii="仿宋" w:hAnsi="仿宋" w:eastAsia="仿宋" w:cs="仿宋"/>
          <w:b/>
          <w:bCs/>
          <w:sz w:val="32"/>
          <w:szCs w:val="32"/>
        </w:rPr>
      </w:pPr>
      <w:r>
        <w:rPr>
          <w:rFonts w:hint="eastAsia" w:ascii="仿宋" w:hAnsi="仿宋" w:eastAsia="仿宋" w:cs="仿宋"/>
          <w:b/>
          <w:bCs/>
          <w:sz w:val="32"/>
          <w:szCs w:val="32"/>
          <w:lang w:eastAsia="zh-CN"/>
        </w:rPr>
        <w:t>五、</w:t>
      </w:r>
      <w:r>
        <w:rPr>
          <w:rFonts w:hint="eastAsia" w:ascii="仿宋" w:hAnsi="仿宋" w:eastAsia="仿宋" w:cs="仿宋"/>
          <w:b/>
          <w:bCs/>
          <w:sz w:val="32"/>
          <w:szCs w:val="32"/>
        </w:rPr>
        <w:t>存在的问题及原因分析</w:t>
      </w:r>
    </w:p>
    <w:p w14:paraId="42831F67">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576" w:firstLineChars="200"/>
        <w:jc w:val="both"/>
        <w:textAlignment w:val="auto"/>
        <w:rPr>
          <w:rFonts w:hint="eastAsia" w:ascii="仿宋" w:hAnsi="仿宋" w:eastAsia="仿宋" w:cs="仿宋"/>
          <w:color w:val="auto"/>
          <w:spacing w:val="-6"/>
          <w:kern w:val="0"/>
          <w:sz w:val="30"/>
          <w:szCs w:val="30"/>
          <w:lang w:val="en-US" w:eastAsia="zh-CN"/>
        </w:rPr>
      </w:pPr>
      <w:r>
        <w:rPr>
          <w:rFonts w:hint="eastAsia" w:ascii="仿宋" w:hAnsi="仿宋" w:eastAsia="仿宋" w:cs="仿宋"/>
          <w:color w:val="auto"/>
          <w:spacing w:val="-6"/>
          <w:kern w:val="0"/>
          <w:sz w:val="30"/>
          <w:szCs w:val="30"/>
        </w:rPr>
        <w:t>我</w:t>
      </w:r>
      <w:r>
        <w:rPr>
          <w:rFonts w:hint="eastAsia" w:ascii="仿宋" w:hAnsi="仿宋" w:eastAsia="仿宋" w:cs="仿宋"/>
          <w:color w:val="auto"/>
          <w:spacing w:val="-6"/>
          <w:kern w:val="0"/>
          <w:sz w:val="30"/>
          <w:szCs w:val="30"/>
          <w:lang w:eastAsia="zh-CN"/>
        </w:rPr>
        <w:t>中心</w:t>
      </w:r>
      <w:r>
        <w:rPr>
          <w:rFonts w:hint="eastAsia" w:ascii="仿宋" w:hAnsi="仿宋" w:eastAsia="仿宋" w:cs="仿宋"/>
          <w:color w:val="auto"/>
          <w:spacing w:val="-6"/>
          <w:kern w:val="0"/>
          <w:sz w:val="30"/>
          <w:szCs w:val="30"/>
        </w:rPr>
        <w:t>虽然在绩效考核上取得一定成绩，但目前在整体支出的</w:t>
      </w:r>
      <w:bookmarkStart w:id="0" w:name="_GoBack"/>
      <w:bookmarkEnd w:id="0"/>
      <w:r>
        <w:rPr>
          <w:rFonts w:hint="eastAsia" w:ascii="仿宋" w:hAnsi="仿宋" w:eastAsia="仿宋" w:cs="仿宋"/>
          <w:color w:val="auto"/>
          <w:spacing w:val="-6"/>
          <w:kern w:val="0"/>
          <w:sz w:val="30"/>
          <w:szCs w:val="30"/>
        </w:rPr>
        <w:t>预算编制、执行和管理过程中，依然存在一些问题和不足：</w:t>
      </w:r>
      <w:r>
        <w:rPr>
          <w:rFonts w:hint="eastAsia" w:ascii="仿宋" w:hAnsi="仿宋" w:eastAsia="仿宋" w:cs="仿宋"/>
          <w:color w:val="auto"/>
          <w:spacing w:val="-6"/>
          <w:kern w:val="0"/>
          <w:sz w:val="30"/>
          <w:szCs w:val="30"/>
          <w:lang w:val="en-US" w:eastAsia="zh-CN"/>
        </w:rPr>
        <w:t>年初预算编制时，项目预算要进一步细化，要科学设置绩效评估指标体系。</w:t>
      </w:r>
    </w:p>
    <w:p w14:paraId="5F53CBD3">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576" w:firstLineChars="200"/>
        <w:jc w:val="both"/>
        <w:textAlignment w:val="auto"/>
        <w:rPr>
          <w:rFonts w:hint="eastAsia" w:ascii="仿宋" w:hAnsi="仿宋" w:eastAsia="仿宋" w:cs="仿宋"/>
          <w:color w:val="auto"/>
          <w:spacing w:val="-6"/>
          <w:kern w:val="0"/>
          <w:sz w:val="30"/>
          <w:szCs w:val="30"/>
        </w:rPr>
      </w:pPr>
    </w:p>
    <w:p w14:paraId="07D45CC5">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576" w:firstLineChars="200"/>
        <w:jc w:val="both"/>
        <w:textAlignment w:val="auto"/>
        <w:rPr>
          <w:rFonts w:hint="eastAsia" w:ascii="仿宋" w:hAnsi="仿宋" w:eastAsia="仿宋" w:cs="仿宋"/>
          <w:color w:val="auto"/>
          <w:spacing w:val="-6"/>
          <w:kern w:val="0"/>
          <w:sz w:val="30"/>
          <w:szCs w:val="30"/>
          <w:lang w:val="en-US" w:eastAsia="zh-CN"/>
        </w:rPr>
      </w:pPr>
      <w:r>
        <w:rPr>
          <w:rFonts w:hint="eastAsia" w:ascii="仿宋" w:hAnsi="仿宋" w:eastAsia="仿宋" w:cs="仿宋"/>
          <w:color w:val="auto"/>
          <w:spacing w:val="-6"/>
          <w:kern w:val="0"/>
          <w:sz w:val="30"/>
          <w:szCs w:val="30"/>
        </w:rPr>
        <w:t>虽然我</w:t>
      </w:r>
      <w:r>
        <w:rPr>
          <w:rFonts w:hint="eastAsia" w:ascii="仿宋" w:hAnsi="仿宋" w:eastAsia="仿宋" w:cs="仿宋"/>
          <w:color w:val="auto"/>
          <w:spacing w:val="-6"/>
          <w:kern w:val="0"/>
          <w:sz w:val="30"/>
          <w:szCs w:val="30"/>
          <w:lang w:eastAsia="zh-CN"/>
        </w:rPr>
        <w:t>中心</w:t>
      </w:r>
      <w:r>
        <w:rPr>
          <w:rFonts w:hint="eastAsia" w:ascii="仿宋" w:hAnsi="仿宋" w:eastAsia="仿宋" w:cs="仿宋"/>
          <w:color w:val="auto"/>
          <w:spacing w:val="-6"/>
          <w:kern w:val="0"/>
          <w:sz w:val="30"/>
          <w:szCs w:val="30"/>
        </w:rPr>
        <w:t>实施绩效管理后财政预算资金管理精细化水平已有提高，但在绩效指标设置的精准性、合理性上有待进一步改善。</w:t>
      </w:r>
    </w:p>
    <w:p w14:paraId="28D32193">
      <w:pPr>
        <w:widowControl/>
        <w:pBdr>
          <w:bottom w:val="single" w:color="FFFFFF" w:sz="8" w:space="17"/>
        </w:pBdr>
        <w:shd w:val="clear" w:color="auto" w:fill="FFFFFF"/>
        <w:spacing w:line="600" w:lineRule="atLeast"/>
        <w:ind w:firstLine="640"/>
        <w:rPr>
          <w:rFonts w:hint="eastAsia" w:ascii="仿宋" w:hAnsi="仿宋" w:eastAsia="仿宋" w:cs="仿宋"/>
          <w:color w:val="auto"/>
          <w:sz w:val="30"/>
          <w:szCs w:val="30"/>
        </w:rPr>
      </w:pPr>
    </w:p>
    <w:p w14:paraId="6E2C7DF4">
      <w:pPr>
        <w:widowControl/>
        <w:shd w:val="clear" w:color="auto" w:fill="FFFFFF"/>
        <w:spacing w:line="600" w:lineRule="atLeast"/>
        <w:ind w:firstLine="640"/>
        <w:jc w:val="left"/>
        <w:rPr>
          <w:rFonts w:hint="eastAsia" w:ascii="仿宋" w:hAnsi="仿宋" w:eastAsia="仿宋" w:cs="仿宋"/>
          <w:b/>
          <w:bCs/>
          <w:color w:val="auto"/>
          <w:kern w:val="0"/>
          <w:sz w:val="30"/>
          <w:szCs w:val="30"/>
        </w:rPr>
      </w:pPr>
      <w:r>
        <w:rPr>
          <w:rFonts w:hint="eastAsia" w:ascii="仿宋" w:hAnsi="仿宋" w:eastAsia="仿宋" w:cs="仿宋"/>
          <w:b/>
          <w:bCs/>
          <w:color w:val="auto"/>
          <w:kern w:val="0"/>
          <w:sz w:val="30"/>
          <w:szCs w:val="30"/>
          <w:lang w:eastAsia="zh-CN"/>
        </w:rPr>
        <w:t>六</w:t>
      </w:r>
      <w:r>
        <w:rPr>
          <w:rFonts w:hint="eastAsia" w:ascii="仿宋" w:hAnsi="仿宋" w:eastAsia="仿宋" w:cs="仿宋"/>
          <w:b/>
          <w:bCs/>
          <w:color w:val="auto"/>
          <w:kern w:val="0"/>
          <w:sz w:val="30"/>
          <w:szCs w:val="30"/>
        </w:rPr>
        <w:t>、下一步改进措施</w:t>
      </w:r>
    </w:p>
    <w:p w14:paraId="2C0CFB0B">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00" w:firstLineChars="200"/>
        <w:jc w:val="both"/>
        <w:textAlignment w:val="auto"/>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针对上述存在的问题及</w:t>
      </w:r>
      <w:r>
        <w:rPr>
          <w:rFonts w:hint="eastAsia" w:ascii="仿宋" w:hAnsi="仿宋" w:eastAsia="仿宋" w:cs="仿宋"/>
          <w:color w:val="auto"/>
          <w:kern w:val="0"/>
          <w:sz w:val="30"/>
          <w:szCs w:val="30"/>
          <w:lang w:eastAsia="zh-CN"/>
        </w:rPr>
        <w:t>资阳区机关事务服务中心</w:t>
      </w:r>
      <w:r>
        <w:rPr>
          <w:rFonts w:hint="eastAsia" w:ascii="仿宋" w:hAnsi="仿宋" w:eastAsia="仿宋" w:cs="仿宋"/>
          <w:color w:val="auto"/>
          <w:kern w:val="0"/>
          <w:sz w:val="30"/>
          <w:szCs w:val="30"/>
        </w:rPr>
        <w:t>预算管理工作的需要，今后工作中要严格按照《会计法》、《预算法》等相关规定，参考近年来的预算执行实际情况，结合年度收支计划，严格预算执行，尽力提高资金使用效率。</w:t>
      </w:r>
    </w:p>
    <w:p w14:paraId="03145EFB">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422" w:firstLineChars="200"/>
        <w:jc w:val="both"/>
        <w:textAlignment w:val="auto"/>
        <w:rPr>
          <w:rFonts w:hint="eastAsia" w:ascii="仿宋" w:hAnsi="仿宋" w:eastAsia="仿宋" w:cs="仿宋"/>
          <w:color w:val="auto"/>
          <w:kern w:val="0"/>
          <w:sz w:val="30"/>
          <w:szCs w:val="30"/>
          <w:lang w:val="en-US" w:eastAsia="zh-CN"/>
        </w:rPr>
      </w:pPr>
      <w:r>
        <w:rPr>
          <w:rFonts w:hint="eastAsia" w:ascii="Times New Roman" w:hAnsi="Times New Roman" w:cs="Times New Roman"/>
          <w:b/>
          <w:bCs/>
          <w:lang w:val="en-US" w:eastAsia="zh-CN"/>
        </w:rPr>
        <w:t>（</w:t>
      </w:r>
      <w:r>
        <w:rPr>
          <w:rFonts w:hint="eastAsia" w:ascii="仿宋" w:hAnsi="仿宋" w:eastAsia="仿宋" w:cs="仿宋"/>
          <w:color w:val="auto"/>
          <w:kern w:val="0"/>
          <w:sz w:val="30"/>
          <w:szCs w:val="30"/>
          <w:lang w:val="en-US" w:eastAsia="zh-CN"/>
        </w:rPr>
        <w:t>一）加强预算绩效管理工作。在编制年初预算时，要本着实事求是，量力而行的原则，合理编制年初预算，以提高预算的科学合理性、预算执行的准确性、预算执行率。</w:t>
      </w:r>
      <w:r>
        <w:rPr>
          <w:rFonts w:hint="eastAsia" w:ascii="仿宋" w:hAnsi="仿宋" w:eastAsia="仿宋" w:cs="仿宋"/>
          <w:color w:val="auto"/>
          <w:kern w:val="0"/>
          <w:sz w:val="30"/>
          <w:szCs w:val="30"/>
          <w:lang w:val="en-US" w:eastAsia="zh-CN"/>
        </w:rPr>
        <w:br w:type="textWrapping"/>
      </w:r>
      <w:r>
        <w:rPr>
          <w:rFonts w:hint="eastAsia" w:ascii="仿宋" w:hAnsi="仿宋" w:eastAsia="仿宋" w:cs="仿宋"/>
          <w:color w:val="auto"/>
          <w:kern w:val="0"/>
          <w:sz w:val="30"/>
          <w:szCs w:val="30"/>
          <w:lang w:val="en-US" w:eastAsia="zh-CN"/>
        </w:rPr>
        <w:t xml:space="preserve">    （二）加强预算编制审核力度。监管部门要加强对各部门预算编报的指导和审核力度，通过预算编制“两上两下”的过程把关和审核，确保各部门的年初部门预算更加科学合理，为预算执行率的提升打下基础。</w:t>
      </w:r>
      <w:r>
        <w:rPr>
          <w:rFonts w:hint="eastAsia" w:ascii="仿宋" w:hAnsi="仿宋" w:eastAsia="仿宋" w:cs="仿宋"/>
          <w:color w:val="auto"/>
          <w:kern w:val="0"/>
          <w:sz w:val="30"/>
          <w:szCs w:val="30"/>
          <w:lang w:val="en-US" w:eastAsia="zh-CN"/>
        </w:rPr>
        <w:br w:type="textWrapping"/>
      </w:r>
      <w:r>
        <w:rPr>
          <w:rFonts w:hint="eastAsia" w:ascii="仿宋" w:hAnsi="仿宋" w:eastAsia="仿宋" w:cs="仿宋"/>
          <w:color w:val="auto"/>
          <w:kern w:val="0"/>
          <w:sz w:val="30"/>
          <w:szCs w:val="30"/>
          <w:lang w:val="en-US" w:eastAsia="zh-CN"/>
        </w:rPr>
        <w:t xml:space="preserve">    （三）加强预算执行监管力度。加强本单位预算执行过程的调度管理，大力推进项目进度和支出进度，促进预算的有效执行和支出的及时实现，从而促进预算执行率的提升。</w:t>
      </w:r>
    </w:p>
    <w:p w14:paraId="11F30526">
      <w:pPr>
        <w:widowControl/>
        <w:pBdr>
          <w:bottom w:val="single" w:color="FFFFFF" w:sz="8" w:space="17"/>
        </w:pBdr>
        <w:shd w:val="clear" w:color="auto" w:fill="FFFFFF"/>
        <w:spacing w:line="600" w:lineRule="atLeast"/>
        <w:ind w:firstLine="640"/>
        <w:rPr>
          <w:rFonts w:hint="eastAsia" w:ascii="仿宋" w:hAnsi="仿宋" w:eastAsia="仿宋" w:cs="仿宋"/>
          <w:color w:val="auto"/>
          <w:kern w:val="0"/>
          <w:sz w:val="30"/>
          <w:szCs w:val="30"/>
        </w:rPr>
      </w:pPr>
    </w:p>
    <w:p w14:paraId="6A64BF00">
      <w:pPr>
        <w:widowControl/>
        <w:pBdr>
          <w:bottom w:val="single" w:color="FFFFFF" w:sz="8" w:space="17"/>
        </w:pBdr>
        <w:shd w:val="clear" w:color="auto" w:fill="FFFFFF"/>
        <w:spacing w:line="600" w:lineRule="atLeast"/>
        <w:ind w:firstLine="640"/>
        <w:rPr>
          <w:rFonts w:hint="eastAsia" w:ascii="仿宋" w:hAnsi="仿宋" w:eastAsia="仿宋" w:cs="仿宋"/>
          <w:b/>
          <w:bCs/>
          <w:color w:val="auto"/>
          <w:kern w:val="0"/>
          <w:sz w:val="30"/>
          <w:szCs w:val="30"/>
        </w:rPr>
      </w:pPr>
      <w:r>
        <w:rPr>
          <w:rFonts w:hint="eastAsia" w:ascii="仿宋" w:hAnsi="仿宋" w:eastAsia="仿宋" w:cs="仿宋"/>
          <w:b/>
          <w:bCs/>
          <w:color w:val="auto"/>
          <w:kern w:val="0"/>
          <w:sz w:val="30"/>
          <w:szCs w:val="30"/>
          <w:lang w:eastAsia="zh-CN"/>
        </w:rPr>
        <w:t>七</w:t>
      </w:r>
      <w:r>
        <w:rPr>
          <w:rFonts w:hint="eastAsia" w:ascii="仿宋" w:hAnsi="仿宋" w:eastAsia="仿宋" w:cs="仿宋"/>
          <w:b/>
          <w:bCs/>
          <w:color w:val="auto"/>
          <w:kern w:val="0"/>
          <w:sz w:val="30"/>
          <w:szCs w:val="30"/>
        </w:rPr>
        <w:t>、部门整体支出绩效自评结果拟应用和公开情况</w:t>
      </w:r>
    </w:p>
    <w:p w14:paraId="28880386">
      <w:pPr>
        <w:widowControl/>
        <w:pBdr>
          <w:bottom w:val="single" w:color="FFFFFF" w:sz="8" w:space="17"/>
        </w:pBdr>
        <w:shd w:val="clear" w:color="auto" w:fill="FFFFFF"/>
        <w:spacing w:line="600" w:lineRule="atLeast"/>
        <w:ind w:firstLine="640"/>
        <w:rPr>
          <w:rFonts w:hint="eastAsia" w:ascii="仿宋" w:hAnsi="仿宋" w:eastAsia="仿宋" w:cs="仿宋"/>
          <w:b/>
          <w:bCs/>
          <w:color w:val="auto"/>
          <w:kern w:val="0"/>
          <w:sz w:val="30"/>
          <w:szCs w:val="30"/>
        </w:rPr>
      </w:pPr>
      <w:r>
        <w:rPr>
          <w:rFonts w:hint="eastAsia" w:ascii="仿宋" w:hAnsi="仿宋" w:eastAsia="仿宋" w:cs="仿宋"/>
          <w:b/>
          <w:bCs/>
          <w:color w:val="auto"/>
          <w:kern w:val="0"/>
          <w:sz w:val="30"/>
          <w:szCs w:val="30"/>
        </w:rPr>
        <w:t>（一）绩效自评结果拟应用</w:t>
      </w:r>
    </w:p>
    <w:p w14:paraId="271ABA96">
      <w:pPr>
        <w:widowControl/>
        <w:pBdr>
          <w:bottom w:val="single" w:color="FFFFFF" w:sz="8" w:space="17"/>
        </w:pBdr>
        <w:shd w:val="clear" w:color="auto" w:fill="FFFFFF"/>
        <w:spacing w:line="600" w:lineRule="atLeast"/>
        <w:ind w:firstLine="640"/>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通过绩效自评，进一步掌握了资金使用情况和取得的效果，总结了专项资金管理经验，认识到了工作中存在的问题和不足，为今后完善年初预算编制、加强资金使用管理、健全资金支出项目、提高资金绩效管理、加大资金使用效益工作提供了重要的参考依据。</w:t>
      </w:r>
    </w:p>
    <w:p w14:paraId="3E590960">
      <w:pPr>
        <w:widowControl/>
        <w:pBdr>
          <w:bottom w:val="single" w:color="FFFFFF" w:sz="8" w:space="17"/>
        </w:pBdr>
        <w:shd w:val="clear" w:color="auto" w:fill="FFFFFF"/>
        <w:spacing w:line="600" w:lineRule="atLeast"/>
        <w:ind w:firstLine="640"/>
        <w:rPr>
          <w:rFonts w:hint="eastAsia" w:ascii="仿宋" w:hAnsi="仿宋" w:eastAsia="仿宋" w:cs="仿宋"/>
          <w:b/>
          <w:bCs/>
          <w:color w:val="auto"/>
          <w:kern w:val="0"/>
          <w:sz w:val="30"/>
          <w:szCs w:val="30"/>
        </w:rPr>
      </w:pPr>
      <w:r>
        <w:rPr>
          <w:rFonts w:hint="eastAsia" w:ascii="仿宋" w:hAnsi="仿宋" w:eastAsia="仿宋" w:cs="仿宋"/>
          <w:b/>
          <w:bCs/>
          <w:color w:val="auto"/>
          <w:kern w:val="0"/>
          <w:sz w:val="30"/>
          <w:szCs w:val="30"/>
        </w:rPr>
        <w:t>（二）绩效自评结果公开情况</w:t>
      </w:r>
    </w:p>
    <w:p w14:paraId="3AEC8957">
      <w:pPr>
        <w:widowControl/>
        <w:pBdr>
          <w:bottom w:val="single" w:color="FFFFFF" w:sz="8" w:space="17"/>
        </w:pBdr>
        <w:shd w:val="clear" w:color="auto" w:fill="FFFFFF"/>
        <w:spacing w:line="600" w:lineRule="atLeast"/>
        <w:ind w:firstLine="640"/>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将此次绩效自评报告在本部门官网上予以全文公布，向社会公开，广泛接受群众监督。</w:t>
      </w:r>
    </w:p>
    <w:p w14:paraId="6C2FBFC2">
      <w:pPr>
        <w:widowControl/>
        <w:shd w:val="clear" w:color="auto" w:fill="FFFFFF"/>
        <w:spacing w:line="600" w:lineRule="atLeast"/>
        <w:ind w:firstLine="640"/>
        <w:jc w:val="lef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附件：1. </w:t>
      </w:r>
      <w:r>
        <w:rPr>
          <w:rFonts w:hint="eastAsia" w:ascii="仿宋" w:hAnsi="仿宋" w:eastAsia="仿宋" w:cs="仿宋"/>
          <w:color w:val="auto"/>
          <w:kern w:val="0"/>
          <w:sz w:val="30"/>
          <w:szCs w:val="30"/>
          <w:lang w:eastAsia="zh-CN"/>
        </w:rPr>
        <w:t>202</w:t>
      </w:r>
      <w:r>
        <w:rPr>
          <w:rFonts w:hint="eastAsia" w:ascii="仿宋" w:hAnsi="仿宋" w:eastAsia="仿宋" w:cs="仿宋"/>
          <w:color w:val="auto"/>
          <w:kern w:val="0"/>
          <w:sz w:val="30"/>
          <w:szCs w:val="30"/>
          <w:lang w:val="en-US" w:eastAsia="zh-CN"/>
        </w:rPr>
        <w:t>4</w:t>
      </w:r>
      <w:r>
        <w:rPr>
          <w:rFonts w:hint="eastAsia" w:ascii="仿宋" w:hAnsi="仿宋" w:eastAsia="仿宋" w:cs="仿宋"/>
          <w:color w:val="auto"/>
          <w:kern w:val="0"/>
          <w:sz w:val="30"/>
          <w:szCs w:val="30"/>
          <w:lang w:eastAsia="zh-CN"/>
        </w:rPr>
        <w:t>年</w:t>
      </w:r>
      <w:r>
        <w:rPr>
          <w:rFonts w:hint="eastAsia" w:ascii="仿宋" w:hAnsi="仿宋" w:eastAsia="仿宋" w:cs="仿宋"/>
          <w:color w:val="auto"/>
          <w:kern w:val="0"/>
          <w:sz w:val="30"/>
          <w:szCs w:val="30"/>
        </w:rPr>
        <w:t>度部门整体支出绩效评价基础数据表</w:t>
      </w:r>
    </w:p>
    <w:p w14:paraId="72A2B294">
      <w:pPr>
        <w:widowControl/>
        <w:shd w:val="clear" w:color="auto" w:fill="FFFFFF"/>
        <w:spacing w:line="600" w:lineRule="atLeast"/>
        <w:ind w:firstLine="1600"/>
        <w:jc w:val="lef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2. </w:t>
      </w:r>
      <w:r>
        <w:rPr>
          <w:rFonts w:hint="eastAsia" w:ascii="仿宋" w:hAnsi="仿宋" w:eastAsia="仿宋" w:cs="仿宋"/>
          <w:color w:val="auto"/>
          <w:kern w:val="0"/>
          <w:sz w:val="30"/>
          <w:szCs w:val="30"/>
          <w:lang w:eastAsia="zh-CN"/>
        </w:rPr>
        <w:t>202</w:t>
      </w:r>
      <w:r>
        <w:rPr>
          <w:rFonts w:hint="eastAsia" w:ascii="仿宋" w:hAnsi="仿宋" w:eastAsia="仿宋" w:cs="仿宋"/>
          <w:color w:val="auto"/>
          <w:kern w:val="0"/>
          <w:sz w:val="30"/>
          <w:szCs w:val="30"/>
          <w:lang w:val="en-US" w:eastAsia="zh-CN"/>
        </w:rPr>
        <w:t>4</w:t>
      </w:r>
      <w:r>
        <w:rPr>
          <w:rFonts w:hint="eastAsia" w:ascii="仿宋" w:hAnsi="仿宋" w:eastAsia="仿宋" w:cs="仿宋"/>
          <w:color w:val="auto"/>
          <w:kern w:val="0"/>
          <w:sz w:val="30"/>
          <w:szCs w:val="30"/>
          <w:lang w:eastAsia="zh-CN"/>
        </w:rPr>
        <w:t>年</w:t>
      </w:r>
      <w:r>
        <w:rPr>
          <w:rFonts w:hint="eastAsia" w:ascii="仿宋" w:hAnsi="仿宋" w:eastAsia="仿宋" w:cs="仿宋"/>
          <w:color w:val="auto"/>
          <w:kern w:val="0"/>
          <w:sz w:val="30"/>
          <w:szCs w:val="30"/>
        </w:rPr>
        <w:t>度部门整体支出绩效自评表</w:t>
      </w:r>
    </w:p>
    <w:p w14:paraId="7B76189E">
      <w:pPr>
        <w:widowControl/>
        <w:shd w:val="clear" w:color="auto" w:fill="FFFFFF"/>
        <w:spacing w:line="600" w:lineRule="atLeast"/>
        <w:jc w:val="lef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 </w:t>
      </w:r>
    </w:p>
    <w:p w14:paraId="4AEA8D54">
      <w:pPr>
        <w:widowControl/>
        <w:shd w:val="clear" w:color="auto" w:fill="FFFFFF"/>
        <w:spacing w:line="600" w:lineRule="atLeast"/>
        <w:jc w:val="center"/>
        <w:rPr>
          <w:rFonts w:hint="eastAsia" w:ascii="仿宋" w:hAnsi="仿宋" w:eastAsia="仿宋" w:cs="仿宋"/>
          <w:b/>
          <w:bCs/>
          <w:color w:val="auto"/>
          <w:kern w:val="0"/>
          <w:sz w:val="30"/>
          <w:szCs w:val="30"/>
          <w:lang w:val="en-US" w:eastAsia="zh-CN"/>
        </w:rPr>
      </w:pPr>
      <w:r>
        <w:rPr>
          <w:rFonts w:hint="eastAsia" w:ascii="仿宋" w:hAnsi="仿宋" w:eastAsia="仿宋" w:cs="仿宋"/>
          <w:b/>
          <w:bCs/>
          <w:color w:val="auto"/>
          <w:kern w:val="0"/>
          <w:sz w:val="30"/>
          <w:szCs w:val="30"/>
          <w:lang w:eastAsia="zh-CN"/>
        </w:rPr>
        <w:t>资阳区机关事务服务中心</w:t>
      </w:r>
    </w:p>
    <w:tbl>
      <w:tblPr>
        <w:tblStyle w:val="7"/>
        <w:tblpPr w:leftFromText="180" w:rightFromText="180" w:vertAnchor="text" w:horzAnchor="page" w:tblpX="1040" w:tblpY="430"/>
        <w:tblOverlap w:val="never"/>
        <w:tblW w:w="9672" w:type="dxa"/>
        <w:tblInd w:w="0" w:type="dxa"/>
        <w:tblLayout w:type="autofit"/>
        <w:tblCellMar>
          <w:top w:w="15" w:type="dxa"/>
          <w:left w:w="15" w:type="dxa"/>
          <w:bottom w:w="15" w:type="dxa"/>
          <w:right w:w="15" w:type="dxa"/>
        </w:tblCellMar>
      </w:tblPr>
      <w:tblGrid>
        <w:gridCol w:w="3136"/>
        <w:gridCol w:w="1903"/>
        <w:gridCol w:w="2597"/>
        <w:gridCol w:w="2036"/>
      </w:tblGrid>
      <w:tr w14:paraId="70DD2993">
        <w:tblPrEx>
          <w:tblCellMar>
            <w:top w:w="15" w:type="dxa"/>
            <w:left w:w="15" w:type="dxa"/>
            <w:bottom w:w="15" w:type="dxa"/>
            <w:right w:w="15" w:type="dxa"/>
          </w:tblCellMar>
        </w:tblPrEx>
        <w:trPr>
          <w:trHeight w:val="680" w:hRule="atLeast"/>
        </w:trPr>
        <w:tc>
          <w:tcPr>
            <w:tcW w:w="3136" w:type="dxa"/>
            <w:vMerge w:val="restar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3A6D92B1">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财政供养人员情况（人）</w:t>
            </w:r>
          </w:p>
        </w:tc>
        <w:tc>
          <w:tcPr>
            <w:tcW w:w="1903"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6325D542">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b/>
                <w:bCs/>
                <w:color w:val="auto"/>
                <w:kern w:val="0"/>
                <w:sz w:val="24"/>
                <w:szCs w:val="24"/>
              </w:rPr>
              <w:t>编制数</w:t>
            </w:r>
          </w:p>
        </w:tc>
        <w:tc>
          <w:tcPr>
            <w:tcW w:w="2597"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2DE94150">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b/>
                <w:bCs/>
                <w:color w:val="auto"/>
                <w:kern w:val="0"/>
                <w:sz w:val="24"/>
                <w:szCs w:val="24"/>
                <w:lang w:eastAsia="zh-CN"/>
              </w:rPr>
              <w:t>202</w:t>
            </w:r>
            <w:r>
              <w:rPr>
                <w:rFonts w:hint="eastAsia" w:ascii="仿宋" w:hAnsi="仿宋" w:eastAsia="仿宋" w:cs="仿宋"/>
                <w:b/>
                <w:bCs/>
                <w:color w:val="auto"/>
                <w:kern w:val="0"/>
                <w:sz w:val="24"/>
                <w:szCs w:val="24"/>
                <w:lang w:val="en-US" w:eastAsia="zh-CN"/>
              </w:rPr>
              <w:t>4</w:t>
            </w:r>
            <w:r>
              <w:rPr>
                <w:rFonts w:hint="eastAsia" w:ascii="仿宋" w:hAnsi="仿宋" w:eastAsia="仿宋" w:cs="仿宋"/>
                <w:b/>
                <w:bCs/>
                <w:color w:val="auto"/>
                <w:kern w:val="0"/>
                <w:sz w:val="24"/>
                <w:szCs w:val="24"/>
                <w:lang w:eastAsia="zh-CN"/>
              </w:rPr>
              <w:t>年</w:t>
            </w:r>
            <w:r>
              <w:rPr>
                <w:rFonts w:hint="eastAsia" w:ascii="仿宋" w:hAnsi="仿宋" w:eastAsia="仿宋" w:cs="仿宋"/>
                <w:b/>
                <w:bCs/>
                <w:color w:val="auto"/>
                <w:kern w:val="0"/>
                <w:sz w:val="24"/>
                <w:szCs w:val="24"/>
              </w:rPr>
              <w:t>实际在职人数</w:t>
            </w:r>
          </w:p>
        </w:tc>
        <w:tc>
          <w:tcPr>
            <w:tcW w:w="203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78DC9DAC">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b/>
                <w:bCs/>
                <w:color w:val="auto"/>
                <w:kern w:val="0"/>
                <w:sz w:val="24"/>
                <w:szCs w:val="24"/>
              </w:rPr>
              <w:t>控制率</w:t>
            </w:r>
          </w:p>
        </w:tc>
      </w:tr>
      <w:tr w14:paraId="6B3CD873">
        <w:tblPrEx>
          <w:tblCellMar>
            <w:top w:w="15" w:type="dxa"/>
            <w:left w:w="15" w:type="dxa"/>
            <w:bottom w:w="15" w:type="dxa"/>
            <w:right w:w="15" w:type="dxa"/>
          </w:tblCellMar>
        </w:tblPrEx>
        <w:trPr>
          <w:trHeight w:val="680" w:hRule="atLeast"/>
        </w:trPr>
        <w:tc>
          <w:tcPr>
            <w:tcW w:w="3136" w:type="dxa"/>
            <w:vMerge w:val="continue"/>
            <w:tcBorders>
              <w:top w:val="single" w:color="auto" w:sz="8" w:space="0"/>
              <w:left w:val="single" w:color="auto" w:sz="8" w:space="0"/>
              <w:bottom w:val="single" w:color="auto" w:sz="8" w:space="0"/>
              <w:right w:val="single" w:color="auto" w:sz="8" w:space="0"/>
            </w:tcBorders>
            <w:vAlign w:val="center"/>
          </w:tcPr>
          <w:p w14:paraId="77F5CDB6">
            <w:pPr>
              <w:widowControl/>
              <w:jc w:val="left"/>
              <w:rPr>
                <w:rFonts w:hint="eastAsia" w:ascii="仿宋" w:hAnsi="仿宋" w:eastAsia="仿宋" w:cs="仿宋"/>
                <w:color w:val="auto"/>
                <w:kern w:val="0"/>
                <w:sz w:val="24"/>
                <w:szCs w:val="24"/>
              </w:rPr>
            </w:pPr>
          </w:p>
        </w:tc>
        <w:tc>
          <w:tcPr>
            <w:tcW w:w="190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6769C3DE">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14</w:t>
            </w:r>
          </w:p>
        </w:tc>
        <w:tc>
          <w:tcPr>
            <w:tcW w:w="2597"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31E45114">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13</w:t>
            </w:r>
          </w:p>
        </w:tc>
        <w:tc>
          <w:tcPr>
            <w:tcW w:w="20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5A1F76CF">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100</w:t>
            </w:r>
            <w:r>
              <w:rPr>
                <w:rFonts w:hint="eastAsia" w:ascii="仿宋" w:hAnsi="仿宋" w:eastAsia="仿宋" w:cs="仿宋"/>
                <w:color w:val="auto"/>
                <w:kern w:val="0"/>
                <w:sz w:val="24"/>
                <w:szCs w:val="24"/>
              </w:rPr>
              <w:t>%</w:t>
            </w:r>
          </w:p>
        </w:tc>
      </w:tr>
      <w:tr w14:paraId="39D84259">
        <w:tblPrEx>
          <w:tblCellMar>
            <w:top w:w="15" w:type="dxa"/>
            <w:left w:w="15" w:type="dxa"/>
            <w:bottom w:w="15" w:type="dxa"/>
            <w:right w:w="15" w:type="dxa"/>
          </w:tblCellMar>
        </w:tblPrEx>
        <w:trPr>
          <w:trHeight w:val="680" w:hRule="atLeast"/>
        </w:trPr>
        <w:tc>
          <w:tcPr>
            <w:tcW w:w="31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2B999DEE">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经费控制情况（万元）</w:t>
            </w:r>
          </w:p>
        </w:tc>
        <w:tc>
          <w:tcPr>
            <w:tcW w:w="190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35FEB22B">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b/>
                <w:bCs/>
                <w:color w:val="auto"/>
                <w:kern w:val="0"/>
                <w:sz w:val="24"/>
                <w:szCs w:val="24"/>
              </w:rPr>
              <w:t>202</w:t>
            </w:r>
            <w:r>
              <w:rPr>
                <w:rFonts w:hint="eastAsia" w:ascii="仿宋" w:hAnsi="仿宋" w:eastAsia="仿宋" w:cs="仿宋"/>
                <w:b/>
                <w:bCs/>
                <w:color w:val="auto"/>
                <w:kern w:val="0"/>
                <w:sz w:val="24"/>
                <w:szCs w:val="24"/>
                <w:lang w:val="en-US" w:eastAsia="zh-CN"/>
              </w:rPr>
              <w:t>3</w:t>
            </w:r>
            <w:r>
              <w:rPr>
                <w:rFonts w:hint="eastAsia" w:ascii="仿宋" w:hAnsi="仿宋" w:eastAsia="仿宋" w:cs="仿宋"/>
                <w:b/>
                <w:bCs/>
                <w:color w:val="auto"/>
                <w:kern w:val="0"/>
                <w:sz w:val="24"/>
                <w:szCs w:val="24"/>
              </w:rPr>
              <w:t>年决算数</w:t>
            </w:r>
          </w:p>
        </w:tc>
        <w:tc>
          <w:tcPr>
            <w:tcW w:w="2597"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4F9ADD22">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b/>
                <w:bCs/>
                <w:color w:val="auto"/>
                <w:kern w:val="0"/>
                <w:sz w:val="24"/>
                <w:szCs w:val="24"/>
                <w:lang w:eastAsia="zh-CN"/>
              </w:rPr>
              <w:t>202</w:t>
            </w:r>
            <w:r>
              <w:rPr>
                <w:rFonts w:hint="eastAsia" w:ascii="仿宋" w:hAnsi="仿宋" w:eastAsia="仿宋" w:cs="仿宋"/>
                <w:b/>
                <w:bCs/>
                <w:color w:val="auto"/>
                <w:kern w:val="0"/>
                <w:sz w:val="24"/>
                <w:szCs w:val="24"/>
                <w:lang w:val="en-US" w:eastAsia="zh-CN"/>
              </w:rPr>
              <w:t>4</w:t>
            </w:r>
            <w:r>
              <w:rPr>
                <w:rFonts w:hint="eastAsia" w:ascii="仿宋" w:hAnsi="仿宋" w:eastAsia="仿宋" w:cs="仿宋"/>
                <w:b/>
                <w:bCs/>
                <w:color w:val="auto"/>
                <w:kern w:val="0"/>
                <w:sz w:val="24"/>
                <w:szCs w:val="24"/>
                <w:lang w:eastAsia="zh-CN"/>
              </w:rPr>
              <w:t>年</w:t>
            </w:r>
            <w:r>
              <w:rPr>
                <w:rFonts w:hint="eastAsia" w:ascii="仿宋" w:hAnsi="仿宋" w:eastAsia="仿宋" w:cs="仿宋"/>
                <w:b/>
                <w:bCs/>
                <w:color w:val="auto"/>
                <w:kern w:val="0"/>
                <w:sz w:val="24"/>
                <w:szCs w:val="24"/>
              </w:rPr>
              <w:t>预算数（调整）</w:t>
            </w:r>
          </w:p>
        </w:tc>
        <w:tc>
          <w:tcPr>
            <w:tcW w:w="20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2D5E22B1">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b/>
                <w:bCs/>
                <w:color w:val="auto"/>
                <w:kern w:val="0"/>
                <w:sz w:val="24"/>
                <w:szCs w:val="24"/>
              </w:rPr>
              <w:t>2</w:t>
            </w:r>
            <w:r>
              <w:rPr>
                <w:rFonts w:hint="eastAsia" w:ascii="仿宋" w:hAnsi="仿宋" w:eastAsia="仿宋" w:cs="仿宋"/>
                <w:b/>
                <w:bCs/>
                <w:color w:val="auto"/>
                <w:kern w:val="0"/>
                <w:sz w:val="24"/>
                <w:szCs w:val="24"/>
                <w:lang w:val="en-US" w:eastAsia="zh-CN"/>
              </w:rPr>
              <w:t>4</w:t>
            </w:r>
            <w:r>
              <w:rPr>
                <w:rFonts w:hint="eastAsia" w:ascii="仿宋" w:hAnsi="仿宋" w:eastAsia="仿宋" w:cs="仿宋"/>
                <w:b/>
                <w:bCs/>
                <w:color w:val="auto"/>
                <w:kern w:val="0"/>
                <w:sz w:val="24"/>
                <w:szCs w:val="24"/>
              </w:rPr>
              <w:t>年决算数</w:t>
            </w:r>
          </w:p>
        </w:tc>
      </w:tr>
      <w:tr w14:paraId="76B30F32">
        <w:tblPrEx>
          <w:tblCellMar>
            <w:top w:w="15" w:type="dxa"/>
            <w:left w:w="15" w:type="dxa"/>
            <w:bottom w:w="15" w:type="dxa"/>
            <w:right w:w="15" w:type="dxa"/>
          </w:tblCellMar>
        </w:tblPrEx>
        <w:trPr>
          <w:trHeight w:val="680" w:hRule="atLeast"/>
        </w:trPr>
        <w:tc>
          <w:tcPr>
            <w:tcW w:w="31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7C3E24D8">
            <w:pPr>
              <w:widowControl/>
              <w:spacing w:line="320" w:lineRule="atLeast"/>
              <w:jc w:val="left"/>
              <w:rPr>
                <w:rFonts w:hint="eastAsia" w:ascii="仿宋" w:hAnsi="仿宋" w:eastAsia="仿宋" w:cs="仿宋"/>
                <w:color w:val="auto"/>
                <w:kern w:val="0"/>
                <w:sz w:val="24"/>
                <w:szCs w:val="24"/>
              </w:rPr>
            </w:pPr>
            <w:r>
              <w:rPr>
                <w:rFonts w:hint="eastAsia" w:ascii="仿宋" w:hAnsi="仿宋" w:eastAsia="仿宋" w:cs="仿宋"/>
                <w:b/>
                <w:bCs/>
                <w:color w:val="auto"/>
                <w:kern w:val="0"/>
                <w:sz w:val="24"/>
                <w:szCs w:val="24"/>
              </w:rPr>
              <w:t>支出总额</w:t>
            </w:r>
          </w:p>
        </w:tc>
        <w:tc>
          <w:tcPr>
            <w:tcW w:w="190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2B77739D">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937.3</w:t>
            </w:r>
          </w:p>
        </w:tc>
        <w:tc>
          <w:tcPr>
            <w:tcW w:w="2597"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57292BAC">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942.83</w:t>
            </w:r>
          </w:p>
        </w:tc>
        <w:tc>
          <w:tcPr>
            <w:tcW w:w="20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7F28B955">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940.83</w:t>
            </w:r>
          </w:p>
        </w:tc>
      </w:tr>
      <w:tr w14:paraId="673C5885">
        <w:tblPrEx>
          <w:tblCellMar>
            <w:top w:w="15" w:type="dxa"/>
            <w:left w:w="15" w:type="dxa"/>
            <w:bottom w:w="15" w:type="dxa"/>
            <w:right w:w="15" w:type="dxa"/>
          </w:tblCellMar>
        </w:tblPrEx>
        <w:trPr>
          <w:trHeight w:val="680" w:hRule="atLeast"/>
        </w:trPr>
        <w:tc>
          <w:tcPr>
            <w:tcW w:w="31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2C05463F">
            <w:pPr>
              <w:widowControl/>
              <w:spacing w:line="320" w:lineRule="atLeast"/>
              <w:jc w:val="left"/>
              <w:rPr>
                <w:rFonts w:hint="eastAsia" w:ascii="仿宋" w:hAnsi="仿宋" w:eastAsia="仿宋" w:cs="仿宋"/>
                <w:color w:val="auto"/>
                <w:kern w:val="0"/>
                <w:sz w:val="24"/>
                <w:szCs w:val="24"/>
              </w:rPr>
            </w:pPr>
            <w:r>
              <w:rPr>
                <w:rFonts w:hint="eastAsia" w:ascii="仿宋" w:hAnsi="仿宋" w:eastAsia="仿宋" w:cs="仿宋"/>
                <w:b/>
                <w:bCs/>
                <w:color w:val="auto"/>
                <w:kern w:val="0"/>
                <w:sz w:val="24"/>
                <w:szCs w:val="24"/>
              </w:rPr>
              <w:t>基本支出</w:t>
            </w:r>
          </w:p>
        </w:tc>
        <w:tc>
          <w:tcPr>
            <w:tcW w:w="190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071A5CFE">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282.58</w:t>
            </w:r>
          </w:p>
        </w:tc>
        <w:tc>
          <w:tcPr>
            <w:tcW w:w="2597"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26D1A7CF">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319.09</w:t>
            </w:r>
          </w:p>
        </w:tc>
        <w:tc>
          <w:tcPr>
            <w:tcW w:w="20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7FAB517E">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317.09</w:t>
            </w:r>
          </w:p>
        </w:tc>
      </w:tr>
      <w:tr w14:paraId="749DD54D">
        <w:tblPrEx>
          <w:tblCellMar>
            <w:top w:w="15" w:type="dxa"/>
            <w:left w:w="15" w:type="dxa"/>
            <w:bottom w:w="15" w:type="dxa"/>
            <w:right w:w="15" w:type="dxa"/>
          </w:tblCellMar>
        </w:tblPrEx>
        <w:trPr>
          <w:trHeight w:val="680" w:hRule="atLeast"/>
        </w:trPr>
        <w:tc>
          <w:tcPr>
            <w:tcW w:w="31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4717C4FB">
            <w:pPr>
              <w:widowControl/>
              <w:spacing w:line="320" w:lineRule="atLeast"/>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    其中：公用经费</w:t>
            </w:r>
          </w:p>
        </w:tc>
        <w:tc>
          <w:tcPr>
            <w:tcW w:w="190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4DCE0AE9">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99.95</w:t>
            </w:r>
          </w:p>
        </w:tc>
        <w:tc>
          <w:tcPr>
            <w:tcW w:w="2597"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025AC4E3">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149.35</w:t>
            </w:r>
          </w:p>
        </w:tc>
        <w:tc>
          <w:tcPr>
            <w:tcW w:w="20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4BF7A3B8">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147.35</w:t>
            </w:r>
          </w:p>
        </w:tc>
      </w:tr>
      <w:tr w14:paraId="4FDF103A">
        <w:tblPrEx>
          <w:tblCellMar>
            <w:top w:w="15" w:type="dxa"/>
            <w:left w:w="15" w:type="dxa"/>
            <w:bottom w:w="15" w:type="dxa"/>
            <w:right w:w="15" w:type="dxa"/>
          </w:tblCellMar>
        </w:tblPrEx>
        <w:trPr>
          <w:trHeight w:val="680" w:hRule="atLeast"/>
        </w:trPr>
        <w:tc>
          <w:tcPr>
            <w:tcW w:w="31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170483E0">
            <w:pPr>
              <w:widowControl/>
              <w:spacing w:line="320" w:lineRule="atLeast"/>
              <w:jc w:val="left"/>
              <w:rPr>
                <w:rFonts w:hint="eastAsia" w:ascii="仿宋" w:hAnsi="仿宋" w:eastAsia="仿宋" w:cs="仿宋"/>
                <w:color w:val="auto"/>
                <w:kern w:val="0"/>
                <w:sz w:val="24"/>
                <w:szCs w:val="24"/>
              </w:rPr>
            </w:pPr>
            <w:r>
              <w:rPr>
                <w:rFonts w:hint="eastAsia" w:ascii="仿宋" w:hAnsi="仿宋" w:eastAsia="仿宋" w:cs="仿宋"/>
                <w:b/>
                <w:bCs/>
                <w:color w:val="auto"/>
                <w:kern w:val="0"/>
                <w:sz w:val="24"/>
                <w:szCs w:val="24"/>
              </w:rPr>
              <w:t>项目支出</w:t>
            </w:r>
          </w:p>
        </w:tc>
        <w:tc>
          <w:tcPr>
            <w:tcW w:w="190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0C3FE674">
            <w:pPr>
              <w:widowControl/>
              <w:spacing w:line="320" w:lineRule="atLeast"/>
              <w:jc w:val="center"/>
              <w:rPr>
                <w:rFonts w:hint="default" w:ascii="仿宋" w:hAnsi="仿宋" w:eastAsia="仿宋" w:cs="仿宋"/>
                <w:color w:val="auto"/>
                <w:kern w:val="0"/>
                <w:sz w:val="24"/>
                <w:szCs w:val="24"/>
                <w:lang w:val="en-US" w:eastAsia="zh-CN"/>
              </w:rPr>
            </w:pPr>
          </w:p>
        </w:tc>
        <w:tc>
          <w:tcPr>
            <w:tcW w:w="2597"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424F3429">
            <w:pPr>
              <w:widowControl/>
              <w:spacing w:line="320" w:lineRule="atLeast"/>
              <w:jc w:val="both"/>
              <w:rPr>
                <w:rFonts w:hint="default" w:ascii="仿宋" w:hAnsi="仿宋" w:eastAsia="仿宋" w:cs="仿宋"/>
                <w:color w:val="auto"/>
                <w:kern w:val="0"/>
                <w:sz w:val="24"/>
                <w:szCs w:val="24"/>
                <w:lang w:val="en-US" w:eastAsia="zh-CN"/>
              </w:rPr>
            </w:pPr>
          </w:p>
        </w:tc>
        <w:tc>
          <w:tcPr>
            <w:tcW w:w="20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5CB5054C">
            <w:pPr>
              <w:widowControl/>
              <w:spacing w:line="320" w:lineRule="atLeast"/>
              <w:jc w:val="center"/>
              <w:rPr>
                <w:rFonts w:hint="default" w:ascii="仿宋" w:hAnsi="仿宋" w:eastAsia="仿宋" w:cs="仿宋"/>
                <w:color w:val="auto"/>
                <w:kern w:val="0"/>
                <w:sz w:val="24"/>
                <w:szCs w:val="24"/>
                <w:lang w:val="en-US" w:eastAsia="zh-CN"/>
              </w:rPr>
            </w:pPr>
          </w:p>
        </w:tc>
      </w:tr>
      <w:tr w14:paraId="2028DE5B">
        <w:tblPrEx>
          <w:tblCellMar>
            <w:top w:w="15" w:type="dxa"/>
            <w:left w:w="15" w:type="dxa"/>
            <w:bottom w:w="15" w:type="dxa"/>
            <w:right w:w="15" w:type="dxa"/>
          </w:tblCellMar>
        </w:tblPrEx>
        <w:trPr>
          <w:trHeight w:val="680" w:hRule="atLeast"/>
        </w:trPr>
        <w:tc>
          <w:tcPr>
            <w:tcW w:w="31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11BC35F2">
            <w:pPr>
              <w:widowControl/>
              <w:spacing w:line="320" w:lineRule="atLeast"/>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    其中：1、运行维护经费</w:t>
            </w:r>
          </w:p>
        </w:tc>
        <w:tc>
          <w:tcPr>
            <w:tcW w:w="190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232FF8EE">
            <w:pPr>
              <w:widowControl/>
              <w:spacing w:line="320" w:lineRule="atLeast"/>
              <w:jc w:val="center"/>
              <w:rPr>
                <w:rFonts w:hint="default" w:ascii="仿宋" w:hAnsi="仿宋" w:eastAsia="仿宋" w:cs="仿宋"/>
                <w:color w:val="auto"/>
                <w:kern w:val="0"/>
                <w:sz w:val="24"/>
                <w:szCs w:val="24"/>
                <w:lang w:val="en-US" w:eastAsia="zh-CN"/>
              </w:rPr>
            </w:pPr>
          </w:p>
        </w:tc>
        <w:tc>
          <w:tcPr>
            <w:tcW w:w="2597"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15D4A5FB">
            <w:pPr>
              <w:widowControl/>
              <w:spacing w:line="320" w:lineRule="atLeast"/>
              <w:jc w:val="center"/>
              <w:rPr>
                <w:rFonts w:hint="default" w:ascii="仿宋" w:hAnsi="仿宋" w:eastAsia="仿宋" w:cs="仿宋"/>
                <w:color w:val="auto"/>
                <w:kern w:val="0"/>
                <w:sz w:val="24"/>
                <w:szCs w:val="24"/>
                <w:lang w:val="en-US" w:eastAsia="zh-CN"/>
              </w:rPr>
            </w:pPr>
          </w:p>
        </w:tc>
        <w:tc>
          <w:tcPr>
            <w:tcW w:w="20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7EA5A3C6">
            <w:pPr>
              <w:widowControl/>
              <w:spacing w:line="320" w:lineRule="atLeast"/>
              <w:jc w:val="center"/>
              <w:rPr>
                <w:rFonts w:hint="default" w:ascii="仿宋" w:hAnsi="仿宋" w:eastAsia="仿宋" w:cs="仿宋"/>
                <w:color w:val="auto"/>
                <w:kern w:val="0"/>
                <w:sz w:val="24"/>
                <w:szCs w:val="24"/>
                <w:lang w:val="en-US" w:eastAsia="zh-CN"/>
              </w:rPr>
            </w:pPr>
          </w:p>
        </w:tc>
      </w:tr>
      <w:tr w14:paraId="12B694B9">
        <w:tblPrEx>
          <w:tblCellMar>
            <w:top w:w="15" w:type="dxa"/>
            <w:left w:w="15" w:type="dxa"/>
            <w:bottom w:w="15" w:type="dxa"/>
            <w:right w:w="15" w:type="dxa"/>
          </w:tblCellMar>
        </w:tblPrEx>
        <w:trPr>
          <w:trHeight w:val="680" w:hRule="atLeast"/>
        </w:trPr>
        <w:tc>
          <w:tcPr>
            <w:tcW w:w="31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474F78EA">
            <w:pPr>
              <w:widowControl/>
              <w:spacing w:line="320" w:lineRule="atLeast"/>
              <w:ind w:firstLine="800"/>
              <w:jc w:val="left"/>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rPr>
              <w:t>      2、</w:t>
            </w:r>
            <w:r>
              <w:rPr>
                <w:rFonts w:hint="eastAsia" w:ascii="仿宋" w:hAnsi="仿宋" w:eastAsia="仿宋" w:cs="仿宋"/>
                <w:color w:val="auto"/>
                <w:kern w:val="0"/>
                <w:sz w:val="24"/>
                <w:szCs w:val="24"/>
                <w:lang w:eastAsia="zh-CN"/>
              </w:rPr>
              <w:t>业务工作经费</w:t>
            </w:r>
          </w:p>
        </w:tc>
        <w:tc>
          <w:tcPr>
            <w:tcW w:w="190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572F45F1">
            <w:pPr>
              <w:widowControl/>
              <w:spacing w:line="320" w:lineRule="atLeast"/>
              <w:jc w:val="center"/>
              <w:rPr>
                <w:rFonts w:hint="eastAsia" w:ascii="仿宋" w:hAnsi="仿宋" w:eastAsia="仿宋" w:cs="仿宋"/>
                <w:color w:val="auto"/>
                <w:kern w:val="0"/>
                <w:sz w:val="24"/>
                <w:szCs w:val="24"/>
              </w:rPr>
            </w:pPr>
          </w:p>
        </w:tc>
        <w:tc>
          <w:tcPr>
            <w:tcW w:w="2597"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114864C1">
            <w:pPr>
              <w:widowControl/>
              <w:spacing w:line="320" w:lineRule="atLeast"/>
              <w:jc w:val="center"/>
              <w:rPr>
                <w:rFonts w:hint="default" w:ascii="仿宋" w:hAnsi="仿宋" w:eastAsia="仿宋" w:cs="仿宋"/>
                <w:color w:val="auto"/>
                <w:kern w:val="0"/>
                <w:sz w:val="24"/>
                <w:szCs w:val="24"/>
                <w:lang w:val="en-US" w:eastAsia="zh-CN"/>
              </w:rPr>
            </w:pPr>
          </w:p>
        </w:tc>
        <w:tc>
          <w:tcPr>
            <w:tcW w:w="20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317E2D65">
            <w:pPr>
              <w:widowControl/>
              <w:spacing w:line="320" w:lineRule="atLeast"/>
              <w:jc w:val="center"/>
              <w:rPr>
                <w:rFonts w:hint="default" w:ascii="仿宋" w:hAnsi="仿宋" w:eastAsia="仿宋" w:cs="仿宋"/>
                <w:color w:val="auto"/>
                <w:kern w:val="0"/>
                <w:sz w:val="24"/>
                <w:szCs w:val="24"/>
                <w:lang w:val="en-US" w:eastAsia="zh-CN"/>
              </w:rPr>
            </w:pPr>
          </w:p>
        </w:tc>
      </w:tr>
      <w:tr w14:paraId="424374E1">
        <w:tblPrEx>
          <w:tblCellMar>
            <w:top w:w="15" w:type="dxa"/>
            <w:left w:w="15" w:type="dxa"/>
            <w:bottom w:w="15" w:type="dxa"/>
            <w:right w:w="15" w:type="dxa"/>
          </w:tblCellMar>
        </w:tblPrEx>
        <w:trPr>
          <w:trHeight w:val="680" w:hRule="atLeast"/>
        </w:trPr>
        <w:tc>
          <w:tcPr>
            <w:tcW w:w="31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00A9532C">
            <w:pPr>
              <w:widowControl/>
              <w:spacing w:line="320" w:lineRule="atLeast"/>
              <w:jc w:val="left"/>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lang w:eastAsia="zh-CN"/>
              </w:rPr>
              <w:t>现代合作社建设</w:t>
            </w:r>
          </w:p>
        </w:tc>
        <w:tc>
          <w:tcPr>
            <w:tcW w:w="190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4F0EBEC2">
            <w:pPr>
              <w:widowControl/>
              <w:spacing w:line="320" w:lineRule="atLeast"/>
              <w:jc w:val="center"/>
              <w:rPr>
                <w:rFonts w:hint="eastAsia" w:ascii="仿宋" w:hAnsi="仿宋" w:eastAsia="仿宋" w:cs="仿宋"/>
                <w:color w:val="auto"/>
                <w:kern w:val="0"/>
                <w:sz w:val="24"/>
                <w:szCs w:val="24"/>
                <w:lang w:val="en-US" w:eastAsia="zh-CN"/>
              </w:rPr>
            </w:pPr>
          </w:p>
        </w:tc>
        <w:tc>
          <w:tcPr>
            <w:tcW w:w="2597"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37B35072">
            <w:pPr>
              <w:widowControl/>
              <w:spacing w:line="320" w:lineRule="atLeast"/>
              <w:jc w:val="center"/>
              <w:rPr>
                <w:rFonts w:hint="eastAsia" w:ascii="仿宋" w:hAnsi="仿宋" w:eastAsia="仿宋" w:cs="仿宋"/>
                <w:color w:val="auto"/>
                <w:kern w:val="0"/>
                <w:sz w:val="24"/>
                <w:szCs w:val="24"/>
              </w:rPr>
            </w:pPr>
          </w:p>
        </w:tc>
        <w:tc>
          <w:tcPr>
            <w:tcW w:w="20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4E3F2B43">
            <w:pPr>
              <w:widowControl/>
              <w:spacing w:line="320" w:lineRule="atLeast"/>
              <w:jc w:val="center"/>
              <w:rPr>
                <w:rFonts w:hint="eastAsia" w:ascii="仿宋" w:hAnsi="仿宋" w:eastAsia="仿宋" w:cs="仿宋"/>
                <w:color w:val="auto"/>
                <w:kern w:val="0"/>
                <w:sz w:val="24"/>
                <w:szCs w:val="24"/>
                <w:lang w:val="en-US" w:eastAsia="zh-CN"/>
              </w:rPr>
            </w:pPr>
          </w:p>
        </w:tc>
      </w:tr>
      <w:tr w14:paraId="432DF8B8">
        <w:tblPrEx>
          <w:tblCellMar>
            <w:top w:w="15" w:type="dxa"/>
            <w:left w:w="15" w:type="dxa"/>
            <w:bottom w:w="15" w:type="dxa"/>
            <w:right w:w="15" w:type="dxa"/>
          </w:tblCellMar>
        </w:tblPrEx>
        <w:trPr>
          <w:trHeight w:val="680" w:hRule="atLeast"/>
        </w:trPr>
        <w:tc>
          <w:tcPr>
            <w:tcW w:w="31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41BE3324">
            <w:pPr>
              <w:widowControl/>
              <w:spacing w:line="320" w:lineRule="atLeast"/>
              <w:jc w:val="left"/>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lang w:eastAsia="zh-CN"/>
              </w:rPr>
              <w:t>科技转化与推广服务</w:t>
            </w:r>
          </w:p>
        </w:tc>
        <w:tc>
          <w:tcPr>
            <w:tcW w:w="190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03FAE14C">
            <w:pPr>
              <w:widowControl/>
              <w:spacing w:line="320" w:lineRule="atLeast"/>
              <w:jc w:val="center"/>
              <w:rPr>
                <w:rFonts w:hint="eastAsia" w:ascii="仿宋" w:hAnsi="仿宋" w:eastAsia="仿宋" w:cs="仿宋"/>
                <w:color w:val="auto"/>
                <w:kern w:val="0"/>
                <w:sz w:val="24"/>
                <w:szCs w:val="24"/>
                <w:lang w:val="en-US" w:eastAsia="zh-CN"/>
              </w:rPr>
            </w:pPr>
          </w:p>
        </w:tc>
        <w:tc>
          <w:tcPr>
            <w:tcW w:w="2597"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66F372CF">
            <w:pPr>
              <w:widowControl/>
              <w:spacing w:line="320" w:lineRule="atLeast"/>
              <w:jc w:val="center"/>
              <w:rPr>
                <w:rFonts w:hint="default" w:ascii="仿宋" w:hAnsi="仿宋" w:eastAsia="仿宋" w:cs="仿宋"/>
                <w:color w:val="auto"/>
                <w:kern w:val="0"/>
                <w:sz w:val="24"/>
                <w:szCs w:val="24"/>
                <w:lang w:val="en-US" w:eastAsia="zh-CN"/>
              </w:rPr>
            </w:pPr>
          </w:p>
        </w:tc>
        <w:tc>
          <w:tcPr>
            <w:tcW w:w="20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63A33CA4">
            <w:pPr>
              <w:widowControl/>
              <w:spacing w:line="320" w:lineRule="atLeast"/>
              <w:jc w:val="center"/>
              <w:rPr>
                <w:rFonts w:hint="default" w:ascii="仿宋" w:hAnsi="仿宋" w:eastAsia="仿宋" w:cs="仿宋"/>
                <w:color w:val="auto"/>
                <w:kern w:val="0"/>
                <w:sz w:val="24"/>
                <w:szCs w:val="24"/>
                <w:lang w:val="en-US" w:eastAsia="zh-CN"/>
              </w:rPr>
            </w:pPr>
          </w:p>
        </w:tc>
      </w:tr>
      <w:tr w14:paraId="57C5B862">
        <w:tblPrEx>
          <w:tblCellMar>
            <w:top w:w="15" w:type="dxa"/>
            <w:left w:w="15" w:type="dxa"/>
            <w:bottom w:w="15" w:type="dxa"/>
            <w:right w:w="15" w:type="dxa"/>
          </w:tblCellMar>
        </w:tblPrEx>
        <w:trPr>
          <w:trHeight w:val="680" w:hRule="atLeast"/>
        </w:trPr>
        <w:tc>
          <w:tcPr>
            <w:tcW w:w="31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559133AF">
            <w:pPr>
              <w:widowControl/>
              <w:spacing w:line="320" w:lineRule="atLeast"/>
              <w:jc w:val="left"/>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lang w:eastAsia="zh-CN"/>
              </w:rPr>
              <w:t>农机监理支出</w:t>
            </w:r>
          </w:p>
        </w:tc>
        <w:tc>
          <w:tcPr>
            <w:tcW w:w="190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726FDC43">
            <w:pPr>
              <w:widowControl/>
              <w:spacing w:line="320" w:lineRule="atLeast"/>
              <w:jc w:val="center"/>
              <w:rPr>
                <w:rFonts w:hint="default" w:ascii="仿宋" w:hAnsi="仿宋" w:eastAsia="仿宋" w:cs="仿宋"/>
                <w:color w:val="auto"/>
                <w:kern w:val="0"/>
                <w:sz w:val="24"/>
                <w:szCs w:val="24"/>
                <w:lang w:val="en-US" w:eastAsia="zh-CN"/>
              </w:rPr>
            </w:pPr>
          </w:p>
        </w:tc>
        <w:tc>
          <w:tcPr>
            <w:tcW w:w="2597"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627FDF9C">
            <w:pPr>
              <w:widowControl/>
              <w:spacing w:line="320" w:lineRule="atLeast"/>
              <w:jc w:val="center"/>
              <w:rPr>
                <w:rFonts w:hint="default" w:ascii="仿宋" w:hAnsi="仿宋" w:eastAsia="仿宋" w:cs="仿宋"/>
                <w:color w:val="auto"/>
                <w:kern w:val="0"/>
                <w:sz w:val="24"/>
                <w:szCs w:val="24"/>
                <w:lang w:val="en-US" w:eastAsia="zh-CN"/>
              </w:rPr>
            </w:pPr>
          </w:p>
        </w:tc>
        <w:tc>
          <w:tcPr>
            <w:tcW w:w="20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72F68B06">
            <w:pPr>
              <w:widowControl/>
              <w:spacing w:line="320" w:lineRule="atLeast"/>
              <w:jc w:val="center"/>
              <w:rPr>
                <w:rFonts w:hint="default" w:ascii="仿宋" w:hAnsi="仿宋" w:eastAsia="仿宋" w:cs="仿宋"/>
                <w:color w:val="auto"/>
                <w:kern w:val="0"/>
                <w:sz w:val="24"/>
                <w:szCs w:val="24"/>
                <w:lang w:val="en-US" w:eastAsia="zh-CN"/>
              </w:rPr>
            </w:pPr>
          </w:p>
        </w:tc>
      </w:tr>
      <w:tr w14:paraId="4987BF7F">
        <w:tblPrEx>
          <w:tblCellMar>
            <w:top w:w="15" w:type="dxa"/>
            <w:left w:w="15" w:type="dxa"/>
            <w:bottom w:w="15" w:type="dxa"/>
            <w:right w:w="15" w:type="dxa"/>
          </w:tblCellMar>
        </w:tblPrEx>
        <w:trPr>
          <w:trHeight w:val="680" w:hRule="atLeast"/>
        </w:trPr>
        <w:tc>
          <w:tcPr>
            <w:tcW w:w="31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02803BD6">
            <w:pPr>
              <w:widowControl/>
              <w:spacing w:line="320" w:lineRule="atLeast"/>
              <w:jc w:val="left"/>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lang w:eastAsia="zh-CN"/>
              </w:rPr>
              <w:t>农业生产发展支出</w:t>
            </w:r>
          </w:p>
        </w:tc>
        <w:tc>
          <w:tcPr>
            <w:tcW w:w="190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1530353E">
            <w:pPr>
              <w:widowControl/>
              <w:spacing w:line="320" w:lineRule="atLeast"/>
              <w:jc w:val="center"/>
              <w:rPr>
                <w:rFonts w:hint="default" w:ascii="仿宋" w:hAnsi="仿宋" w:eastAsia="仿宋" w:cs="仿宋"/>
                <w:color w:val="auto"/>
                <w:kern w:val="0"/>
                <w:sz w:val="24"/>
                <w:szCs w:val="24"/>
                <w:lang w:val="en-US" w:eastAsia="zh-CN"/>
              </w:rPr>
            </w:pPr>
          </w:p>
        </w:tc>
        <w:tc>
          <w:tcPr>
            <w:tcW w:w="2597"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6E853AA1">
            <w:pPr>
              <w:widowControl/>
              <w:spacing w:line="320" w:lineRule="atLeast"/>
              <w:jc w:val="center"/>
              <w:rPr>
                <w:rFonts w:hint="default" w:ascii="仿宋" w:hAnsi="仿宋" w:eastAsia="仿宋" w:cs="仿宋"/>
                <w:color w:val="auto"/>
                <w:kern w:val="0"/>
                <w:sz w:val="24"/>
                <w:szCs w:val="24"/>
                <w:lang w:val="en-US" w:eastAsia="zh-CN"/>
              </w:rPr>
            </w:pPr>
          </w:p>
        </w:tc>
        <w:tc>
          <w:tcPr>
            <w:tcW w:w="20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19D4FE59">
            <w:pPr>
              <w:widowControl/>
              <w:spacing w:line="320" w:lineRule="atLeast"/>
              <w:ind w:firstLine="400"/>
              <w:rPr>
                <w:rFonts w:hint="default" w:ascii="仿宋" w:hAnsi="仿宋" w:eastAsia="仿宋" w:cs="仿宋"/>
                <w:color w:val="auto"/>
                <w:kern w:val="0"/>
                <w:sz w:val="24"/>
                <w:szCs w:val="24"/>
                <w:lang w:val="en-US" w:eastAsia="zh-CN"/>
              </w:rPr>
            </w:pPr>
          </w:p>
        </w:tc>
      </w:tr>
      <w:tr w14:paraId="5264FE69">
        <w:tblPrEx>
          <w:tblCellMar>
            <w:top w:w="15" w:type="dxa"/>
            <w:left w:w="15" w:type="dxa"/>
            <w:bottom w:w="15" w:type="dxa"/>
            <w:right w:w="15" w:type="dxa"/>
          </w:tblCellMar>
        </w:tblPrEx>
        <w:trPr>
          <w:trHeight w:val="680" w:hRule="atLeast"/>
        </w:trPr>
        <w:tc>
          <w:tcPr>
            <w:tcW w:w="31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613EFE92">
            <w:pPr>
              <w:widowControl/>
              <w:spacing w:line="320" w:lineRule="atLeast"/>
              <w:jc w:val="left"/>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eastAsia="zh-CN"/>
              </w:rPr>
              <w:t>农村各种购机及其他专项补贴</w:t>
            </w:r>
          </w:p>
        </w:tc>
        <w:tc>
          <w:tcPr>
            <w:tcW w:w="190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7572E83B">
            <w:pPr>
              <w:widowControl/>
              <w:spacing w:line="320" w:lineRule="atLeast"/>
              <w:jc w:val="center"/>
              <w:rPr>
                <w:rFonts w:hint="default" w:ascii="仿宋" w:hAnsi="仿宋" w:eastAsia="仿宋" w:cs="仿宋"/>
                <w:color w:val="auto"/>
                <w:kern w:val="0"/>
                <w:sz w:val="24"/>
                <w:szCs w:val="24"/>
                <w:lang w:val="en-US" w:eastAsia="zh-CN"/>
              </w:rPr>
            </w:pPr>
          </w:p>
        </w:tc>
        <w:tc>
          <w:tcPr>
            <w:tcW w:w="2597"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497AF5F1">
            <w:pPr>
              <w:widowControl/>
              <w:spacing w:line="320" w:lineRule="atLeast"/>
              <w:jc w:val="center"/>
              <w:rPr>
                <w:rFonts w:hint="default" w:ascii="仿宋" w:hAnsi="仿宋" w:eastAsia="仿宋" w:cs="仿宋"/>
                <w:color w:val="auto"/>
                <w:kern w:val="0"/>
                <w:sz w:val="24"/>
                <w:szCs w:val="24"/>
                <w:lang w:val="en-US" w:eastAsia="zh-CN"/>
              </w:rPr>
            </w:pPr>
          </w:p>
        </w:tc>
        <w:tc>
          <w:tcPr>
            <w:tcW w:w="20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7695EE70">
            <w:pPr>
              <w:widowControl/>
              <w:spacing w:line="320" w:lineRule="atLeast"/>
              <w:jc w:val="center"/>
              <w:rPr>
                <w:rFonts w:hint="default" w:ascii="仿宋" w:hAnsi="仿宋" w:eastAsia="仿宋" w:cs="仿宋"/>
                <w:color w:val="auto"/>
                <w:kern w:val="0"/>
                <w:sz w:val="24"/>
                <w:szCs w:val="24"/>
                <w:lang w:val="en-US" w:eastAsia="zh-CN"/>
              </w:rPr>
            </w:pPr>
          </w:p>
        </w:tc>
      </w:tr>
      <w:tr w14:paraId="72924492">
        <w:tblPrEx>
          <w:tblCellMar>
            <w:top w:w="15" w:type="dxa"/>
            <w:left w:w="15" w:type="dxa"/>
            <w:bottom w:w="15" w:type="dxa"/>
            <w:right w:w="15" w:type="dxa"/>
          </w:tblCellMar>
        </w:tblPrEx>
        <w:trPr>
          <w:trHeight w:val="680" w:hRule="atLeast"/>
        </w:trPr>
        <w:tc>
          <w:tcPr>
            <w:tcW w:w="31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0F68F800">
            <w:pPr>
              <w:widowControl/>
              <w:spacing w:line="320" w:lineRule="atLeast"/>
              <w:jc w:val="left"/>
              <w:rPr>
                <w:rFonts w:hint="eastAsia" w:ascii="仿宋" w:hAnsi="仿宋" w:eastAsia="仿宋" w:cs="仿宋"/>
                <w:color w:val="auto"/>
                <w:kern w:val="0"/>
                <w:sz w:val="24"/>
                <w:szCs w:val="24"/>
              </w:rPr>
            </w:pPr>
            <w:r>
              <w:rPr>
                <w:rFonts w:hint="eastAsia" w:ascii="仿宋" w:hAnsi="仿宋" w:eastAsia="仿宋" w:cs="仿宋"/>
                <w:b/>
                <w:bCs/>
                <w:color w:val="auto"/>
                <w:kern w:val="0"/>
                <w:sz w:val="24"/>
                <w:szCs w:val="24"/>
              </w:rPr>
              <w:t>三公经费</w:t>
            </w:r>
          </w:p>
        </w:tc>
        <w:tc>
          <w:tcPr>
            <w:tcW w:w="190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5A6B4DF2">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119.37</w:t>
            </w:r>
          </w:p>
        </w:tc>
        <w:tc>
          <w:tcPr>
            <w:tcW w:w="2597"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623DCCA2">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138.84</w:t>
            </w:r>
          </w:p>
        </w:tc>
        <w:tc>
          <w:tcPr>
            <w:tcW w:w="20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5CB3DC9A">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138.84</w:t>
            </w:r>
          </w:p>
        </w:tc>
      </w:tr>
      <w:tr w14:paraId="5EA5F96A">
        <w:tblPrEx>
          <w:tblCellMar>
            <w:top w:w="15" w:type="dxa"/>
            <w:left w:w="15" w:type="dxa"/>
            <w:bottom w:w="15" w:type="dxa"/>
            <w:right w:w="15" w:type="dxa"/>
          </w:tblCellMar>
        </w:tblPrEx>
        <w:trPr>
          <w:trHeight w:val="680" w:hRule="atLeast"/>
        </w:trPr>
        <w:tc>
          <w:tcPr>
            <w:tcW w:w="31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5FE8C40A">
            <w:pPr>
              <w:widowControl/>
              <w:spacing w:line="320" w:lineRule="atLeast"/>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   1、公务用车购置和维护经费</w:t>
            </w:r>
          </w:p>
        </w:tc>
        <w:tc>
          <w:tcPr>
            <w:tcW w:w="190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4F2F194B">
            <w:pPr>
              <w:widowControl/>
              <w:spacing w:line="320" w:lineRule="atLeast"/>
              <w:jc w:val="center"/>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lang w:val="en-US" w:eastAsia="zh-CN"/>
              </w:rPr>
              <w:t>0</w:t>
            </w:r>
          </w:p>
        </w:tc>
        <w:tc>
          <w:tcPr>
            <w:tcW w:w="2597"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4BE896E5">
            <w:pPr>
              <w:widowControl/>
              <w:spacing w:line="320" w:lineRule="atLeast"/>
              <w:jc w:val="center"/>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lang w:val="en-US" w:eastAsia="zh-CN"/>
              </w:rPr>
              <w:t>0</w:t>
            </w:r>
          </w:p>
        </w:tc>
        <w:tc>
          <w:tcPr>
            <w:tcW w:w="20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7B89F6A2">
            <w:pPr>
              <w:widowControl/>
              <w:spacing w:line="320" w:lineRule="atLeast"/>
              <w:jc w:val="center"/>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lang w:val="en-US" w:eastAsia="zh-CN"/>
              </w:rPr>
              <w:t>0</w:t>
            </w:r>
          </w:p>
        </w:tc>
      </w:tr>
      <w:tr w14:paraId="7888FE33">
        <w:tblPrEx>
          <w:tblCellMar>
            <w:top w:w="15" w:type="dxa"/>
            <w:left w:w="15" w:type="dxa"/>
            <w:bottom w:w="15" w:type="dxa"/>
            <w:right w:w="15" w:type="dxa"/>
          </w:tblCellMar>
        </w:tblPrEx>
        <w:trPr>
          <w:trHeight w:val="680" w:hRule="atLeast"/>
        </w:trPr>
        <w:tc>
          <w:tcPr>
            <w:tcW w:w="31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4D98E443">
            <w:pPr>
              <w:widowControl/>
              <w:spacing w:line="320" w:lineRule="atLeast"/>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       其中：公车购置</w:t>
            </w:r>
          </w:p>
        </w:tc>
        <w:tc>
          <w:tcPr>
            <w:tcW w:w="190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52777A6A">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 </w:t>
            </w:r>
          </w:p>
        </w:tc>
        <w:tc>
          <w:tcPr>
            <w:tcW w:w="2597"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3D3A8EAF">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24.98</w:t>
            </w:r>
          </w:p>
        </w:tc>
        <w:tc>
          <w:tcPr>
            <w:tcW w:w="20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750C7955">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24.98</w:t>
            </w:r>
          </w:p>
        </w:tc>
      </w:tr>
      <w:tr w14:paraId="5D7D970D">
        <w:tblPrEx>
          <w:tblCellMar>
            <w:top w:w="15" w:type="dxa"/>
            <w:left w:w="15" w:type="dxa"/>
            <w:bottom w:w="15" w:type="dxa"/>
            <w:right w:w="15" w:type="dxa"/>
          </w:tblCellMar>
        </w:tblPrEx>
        <w:trPr>
          <w:trHeight w:val="680" w:hRule="atLeast"/>
        </w:trPr>
        <w:tc>
          <w:tcPr>
            <w:tcW w:w="31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3CF5D3CA">
            <w:pPr>
              <w:widowControl/>
              <w:spacing w:line="320" w:lineRule="atLeast"/>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             公车运行维护</w:t>
            </w:r>
          </w:p>
        </w:tc>
        <w:tc>
          <w:tcPr>
            <w:tcW w:w="190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2FA5A887">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119.37</w:t>
            </w:r>
          </w:p>
        </w:tc>
        <w:tc>
          <w:tcPr>
            <w:tcW w:w="2597"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18E12E2E">
            <w:pPr>
              <w:widowControl/>
              <w:spacing w:line="320" w:lineRule="atLeast"/>
              <w:jc w:val="both"/>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113.86</w:t>
            </w:r>
          </w:p>
        </w:tc>
        <w:tc>
          <w:tcPr>
            <w:tcW w:w="20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29BE478F">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113.86</w:t>
            </w:r>
          </w:p>
        </w:tc>
      </w:tr>
      <w:tr w14:paraId="1E5B709F">
        <w:tblPrEx>
          <w:tblCellMar>
            <w:top w:w="15" w:type="dxa"/>
            <w:left w:w="15" w:type="dxa"/>
            <w:bottom w:w="15" w:type="dxa"/>
            <w:right w:w="15" w:type="dxa"/>
          </w:tblCellMar>
        </w:tblPrEx>
        <w:trPr>
          <w:trHeight w:val="680" w:hRule="atLeast"/>
        </w:trPr>
        <w:tc>
          <w:tcPr>
            <w:tcW w:w="31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428E1857">
            <w:pPr>
              <w:widowControl/>
              <w:spacing w:line="320" w:lineRule="atLeast"/>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   2、出国经费</w:t>
            </w:r>
          </w:p>
        </w:tc>
        <w:tc>
          <w:tcPr>
            <w:tcW w:w="190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38615979">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0</w:t>
            </w:r>
          </w:p>
        </w:tc>
        <w:tc>
          <w:tcPr>
            <w:tcW w:w="2597"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5E2132D4">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0</w:t>
            </w:r>
          </w:p>
        </w:tc>
        <w:tc>
          <w:tcPr>
            <w:tcW w:w="20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4C172341">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0</w:t>
            </w:r>
          </w:p>
        </w:tc>
      </w:tr>
      <w:tr w14:paraId="50C7FE52">
        <w:tblPrEx>
          <w:tblCellMar>
            <w:top w:w="15" w:type="dxa"/>
            <w:left w:w="15" w:type="dxa"/>
            <w:bottom w:w="15" w:type="dxa"/>
            <w:right w:w="15" w:type="dxa"/>
          </w:tblCellMar>
        </w:tblPrEx>
        <w:trPr>
          <w:trHeight w:val="680" w:hRule="atLeast"/>
        </w:trPr>
        <w:tc>
          <w:tcPr>
            <w:tcW w:w="31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74316017">
            <w:pPr>
              <w:widowControl/>
              <w:spacing w:line="320" w:lineRule="atLeast"/>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   3、公务接待</w:t>
            </w:r>
          </w:p>
        </w:tc>
        <w:tc>
          <w:tcPr>
            <w:tcW w:w="190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1C313D2B">
            <w:pPr>
              <w:widowControl/>
              <w:spacing w:line="320" w:lineRule="atLeast"/>
              <w:jc w:val="center"/>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lang w:val="en-US" w:eastAsia="zh-CN"/>
              </w:rPr>
              <w:t>0</w:t>
            </w:r>
          </w:p>
        </w:tc>
        <w:tc>
          <w:tcPr>
            <w:tcW w:w="2597"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6C034861">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0</w:t>
            </w:r>
          </w:p>
        </w:tc>
        <w:tc>
          <w:tcPr>
            <w:tcW w:w="20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31445011">
            <w:pPr>
              <w:widowControl/>
              <w:spacing w:line="320" w:lineRule="atLeast"/>
              <w:jc w:val="center"/>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lang w:val="en-US" w:eastAsia="zh-CN"/>
              </w:rPr>
              <w:t>0</w:t>
            </w:r>
          </w:p>
        </w:tc>
      </w:tr>
      <w:tr w14:paraId="060B5AE8">
        <w:tblPrEx>
          <w:tblCellMar>
            <w:top w:w="15" w:type="dxa"/>
            <w:left w:w="15" w:type="dxa"/>
            <w:bottom w:w="15" w:type="dxa"/>
            <w:right w:w="15" w:type="dxa"/>
          </w:tblCellMar>
        </w:tblPrEx>
        <w:trPr>
          <w:trHeight w:val="680" w:hRule="atLeast"/>
        </w:trPr>
        <w:tc>
          <w:tcPr>
            <w:tcW w:w="31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2DBCA6D1">
            <w:pPr>
              <w:widowControl/>
              <w:spacing w:line="320" w:lineRule="atLeast"/>
              <w:jc w:val="left"/>
              <w:rPr>
                <w:rFonts w:hint="eastAsia" w:ascii="仿宋" w:hAnsi="仿宋" w:eastAsia="仿宋" w:cs="仿宋"/>
                <w:color w:val="auto"/>
                <w:kern w:val="0"/>
                <w:sz w:val="24"/>
                <w:szCs w:val="24"/>
              </w:rPr>
            </w:pPr>
            <w:r>
              <w:rPr>
                <w:rFonts w:hint="eastAsia" w:ascii="仿宋" w:hAnsi="仿宋" w:eastAsia="仿宋" w:cs="仿宋"/>
                <w:b/>
                <w:bCs/>
                <w:color w:val="auto"/>
                <w:kern w:val="0"/>
                <w:sz w:val="24"/>
                <w:szCs w:val="24"/>
              </w:rPr>
              <w:t>政府采购金额</w:t>
            </w:r>
          </w:p>
        </w:tc>
        <w:tc>
          <w:tcPr>
            <w:tcW w:w="190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649A686C">
            <w:pPr>
              <w:widowControl/>
              <w:spacing w:line="320" w:lineRule="atLeast"/>
              <w:jc w:val="center"/>
              <w:rPr>
                <w:rFonts w:hint="default" w:ascii="仿宋" w:hAnsi="仿宋" w:eastAsia="仿宋" w:cs="仿宋"/>
                <w:color w:val="auto"/>
                <w:kern w:val="0"/>
                <w:sz w:val="24"/>
                <w:szCs w:val="24"/>
                <w:lang w:val="en-US"/>
              </w:rPr>
            </w:pPr>
            <w:r>
              <w:rPr>
                <w:rFonts w:hint="eastAsia" w:ascii="仿宋" w:hAnsi="仿宋" w:eastAsia="仿宋" w:cs="仿宋"/>
                <w:color w:val="auto"/>
                <w:kern w:val="0"/>
                <w:sz w:val="24"/>
                <w:szCs w:val="24"/>
                <w:lang w:val="en-US" w:eastAsia="zh-CN"/>
              </w:rPr>
              <w:t>41.41</w:t>
            </w:r>
          </w:p>
        </w:tc>
        <w:tc>
          <w:tcPr>
            <w:tcW w:w="2597"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364B0AC1">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253.02</w:t>
            </w:r>
          </w:p>
        </w:tc>
        <w:tc>
          <w:tcPr>
            <w:tcW w:w="20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61789C89">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253.02</w:t>
            </w:r>
          </w:p>
        </w:tc>
      </w:tr>
      <w:tr w14:paraId="7BEF3119">
        <w:tblPrEx>
          <w:tblCellMar>
            <w:top w:w="15" w:type="dxa"/>
            <w:left w:w="15" w:type="dxa"/>
            <w:bottom w:w="15" w:type="dxa"/>
            <w:right w:w="15" w:type="dxa"/>
          </w:tblCellMar>
        </w:tblPrEx>
        <w:trPr>
          <w:trHeight w:val="680" w:hRule="atLeast"/>
        </w:trPr>
        <w:tc>
          <w:tcPr>
            <w:tcW w:w="313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402319D5">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厉行节约保障措施</w:t>
            </w:r>
          </w:p>
        </w:tc>
        <w:tc>
          <w:tcPr>
            <w:tcW w:w="6536" w:type="dxa"/>
            <w:gridSpan w:val="3"/>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5D5FC5A5">
            <w:pPr>
              <w:widowControl/>
              <w:spacing w:line="320" w:lineRule="atLeast"/>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严格落实中央八项规定和省委九项规定，坚持勤俭节约、反对铺张浪费，带头过紧日子，细化预算，确保机关运转。　</w:t>
            </w:r>
          </w:p>
        </w:tc>
      </w:tr>
    </w:tbl>
    <w:p w14:paraId="50BBFCF7">
      <w:pPr>
        <w:widowControl/>
        <w:shd w:val="clear" w:color="auto" w:fill="FFFFFF"/>
        <w:spacing w:line="600" w:lineRule="atLeast"/>
        <w:jc w:val="left"/>
        <w:rPr>
          <w:rFonts w:hint="eastAsia" w:ascii="仿宋" w:hAnsi="仿宋" w:eastAsia="仿宋" w:cs="仿宋"/>
          <w:color w:val="auto"/>
          <w:kern w:val="0"/>
          <w:sz w:val="30"/>
          <w:szCs w:val="30"/>
        </w:rPr>
      </w:pPr>
    </w:p>
    <w:p w14:paraId="01AD32C2">
      <w:pPr>
        <w:widowControl/>
        <w:shd w:val="clear" w:color="auto" w:fill="FFFFFF"/>
        <w:spacing w:line="600" w:lineRule="atLeast"/>
        <w:jc w:val="left"/>
        <w:rPr>
          <w:rFonts w:hint="eastAsia" w:ascii="仿宋" w:hAnsi="仿宋" w:eastAsia="仿宋" w:cs="仿宋"/>
          <w:color w:val="auto"/>
          <w:kern w:val="0"/>
          <w:sz w:val="30"/>
          <w:szCs w:val="30"/>
        </w:rPr>
      </w:pPr>
    </w:p>
    <w:p w14:paraId="46DF0A3B">
      <w:pPr>
        <w:widowControl/>
        <w:shd w:val="clear" w:color="auto" w:fill="FFFFFF"/>
        <w:spacing w:line="600" w:lineRule="atLeast"/>
        <w:jc w:val="left"/>
        <w:rPr>
          <w:rFonts w:hint="eastAsia" w:ascii="仿宋" w:hAnsi="仿宋" w:eastAsia="仿宋" w:cs="仿宋"/>
          <w:color w:val="auto"/>
          <w:kern w:val="0"/>
          <w:sz w:val="30"/>
          <w:szCs w:val="30"/>
        </w:rPr>
      </w:pPr>
    </w:p>
    <w:p w14:paraId="4E84B990">
      <w:pPr>
        <w:widowControl/>
        <w:shd w:val="clear" w:color="auto" w:fill="FFFFFF"/>
        <w:spacing w:line="600" w:lineRule="atLeast"/>
        <w:jc w:val="left"/>
        <w:rPr>
          <w:rFonts w:hint="eastAsia" w:ascii="仿宋" w:hAnsi="仿宋" w:eastAsia="仿宋" w:cs="仿宋"/>
          <w:color w:val="auto"/>
          <w:kern w:val="0"/>
          <w:sz w:val="30"/>
          <w:szCs w:val="30"/>
        </w:rPr>
      </w:pPr>
    </w:p>
    <w:p w14:paraId="7E74FF0F">
      <w:pPr>
        <w:widowControl/>
        <w:shd w:val="clear" w:color="auto" w:fill="FFFFFF"/>
        <w:spacing w:line="600" w:lineRule="atLeast"/>
        <w:jc w:val="left"/>
        <w:rPr>
          <w:rFonts w:hint="eastAsia" w:ascii="仿宋" w:hAnsi="仿宋" w:eastAsia="仿宋" w:cs="仿宋"/>
          <w:color w:val="auto"/>
          <w:kern w:val="0"/>
          <w:sz w:val="30"/>
          <w:szCs w:val="30"/>
        </w:rPr>
      </w:pPr>
    </w:p>
    <w:p w14:paraId="25705884">
      <w:pPr>
        <w:widowControl/>
        <w:shd w:val="clear" w:color="auto" w:fill="FFFFFF"/>
        <w:spacing w:line="600" w:lineRule="atLeast"/>
        <w:jc w:val="lef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附件1</w:t>
      </w:r>
    </w:p>
    <w:p w14:paraId="6693EC62">
      <w:pPr>
        <w:widowControl/>
        <w:shd w:val="clear" w:color="auto" w:fill="FFFFFF"/>
        <w:spacing w:line="60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lang w:eastAsia="zh-CN"/>
        </w:rPr>
        <w:t>202</w:t>
      </w:r>
      <w:r>
        <w:rPr>
          <w:rFonts w:hint="eastAsia" w:ascii="仿宋" w:hAnsi="仿宋" w:eastAsia="仿宋" w:cs="仿宋"/>
          <w:color w:val="auto"/>
          <w:kern w:val="0"/>
          <w:sz w:val="24"/>
          <w:szCs w:val="24"/>
          <w:lang w:val="en-US" w:eastAsia="zh-CN"/>
        </w:rPr>
        <w:t>4</w:t>
      </w:r>
      <w:r>
        <w:rPr>
          <w:rFonts w:hint="eastAsia" w:ascii="仿宋" w:hAnsi="仿宋" w:eastAsia="仿宋" w:cs="仿宋"/>
          <w:color w:val="auto"/>
          <w:kern w:val="0"/>
          <w:sz w:val="24"/>
          <w:szCs w:val="24"/>
          <w:lang w:eastAsia="zh-CN"/>
        </w:rPr>
        <w:t>年</w:t>
      </w:r>
      <w:r>
        <w:rPr>
          <w:rFonts w:hint="eastAsia" w:ascii="仿宋" w:hAnsi="仿宋" w:eastAsia="仿宋" w:cs="仿宋"/>
          <w:color w:val="auto"/>
          <w:kern w:val="0"/>
          <w:sz w:val="24"/>
          <w:szCs w:val="24"/>
        </w:rPr>
        <w:t>度部门整体支出绩效评价基础数据表</w:t>
      </w:r>
    </w:p>
    <w:p w14:paraId="35FEDBA0">
      <w:pPr>
        <w:widowControl/>
        <w:shd w:val="clear" w:color="auto" w:fill="FFFFFF"/>
        <w:spacing w:line="400" w:lineRule="atLeast"/>
        <w:jc w:val="lef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说明：“公用经费”填报基本支出中的一般商品和服务支出。“项目支出”需要填报基本支出以外的所有项目支出情况，“运行维护经费”填报项目支出中用于人员类和公用运转类的支出。</w:t>
      </w:r>
    </w:p>
    <w:p w14:paraId="1F06A819">
      <w:pPr>
        <w:widowControl/>
        <w:shd w:val="clear" w:color="auto" w:fill="FFFFFF"/>
        <w:spacing w:line="400" w:lineRule="atLeast"/>
        <w:jc w:val="lef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 </w:t>
      </w:r>
    </w:p>
    <w:p w14:paraId="67819B51">
      <w:pPr>
        <w:widowControl/>
        <w:shd w:val="clear" w:color="auto" w:fill="FFFFFF"/>
        <w:spacing w:line="400" w:lineRule="atLeast"/>
        <w:jc w:val="left"/>
        <w:rPr>
          <w:rFonts w:hint="default" w:ascii="仿宋" w:hAnsi="仿宋" w:eastAsia="仿宋" w:cs="仿宋"/>
          <w:color w:val="auto"/>
          <w:kern w:val="0"/>
          <w:sz w:val="30"/>
          <w:szCs w:val="30"/>
          <w:lang w:val="en-US" w:eastAsia="zh-CN"/>
        </w:rPr>
      </w:pPr>
      <w:r>
        <w:rPr>
          <w:rFonts w:hint="eastAsia" w:ascii="仿宋" w:hAnsi="仿宋" w:eastAsia="仿宋" w:cs="仿宋"/>
          <w:color w:val="auto"/>
          <w:kern w:val="0"/>
          <w:sz w:val="30"/>
          <w:szCs w:val="30"/>
        </w:rPr>
        <w:t>填表人：</w:t>
      </w:r>
      <w:r>
        <w:rPr>
          <w:rFonts w:hint="eastAsia" w:ascii="仿宋" w:hAnsi="仿宋" w:eastAsia="仿宋" w:cs="仿宋"/>
          <w:color w:val="auto"/>
          <w:kern w:val="0"/>
          <w:sz w:val="30"/>
          <w:szCs w:val="30"/>
          <w:lang w:eastAsia="zh-CN"/>
        </w:rPr>
        <w:t>龚志强</w:t>
      </w:r>
      <w:r>
        <w:rPr>
          <w:rFonts w:hint="eastAsia" w:ascii="仿宋" w:hAnsi="仿宋" w:eastAsia="仿宋" w:cs="仿宋"/>
          <w:color w:val="auto"/>
          <w:kern w:val="0"/>
          <w:sz w:val="30"/>
          <w:szCs w:val="30"/>
        </w:rPr>
        <w:t>　填报日期：202</w:t>
      </w:r>
      <w:r>
        <w:rPr>
          <w:rFonts w:hint="eastAsia" w:ascii="仿宋" w:hAnsi="仿宋" w:eastAsia="仿宋" w:cs="仿宋"/>
          <w:color w:val="auto"/>
          <w:kern w:val="0"/>
          <w:sz w:val="30"/>
          <w:szCs w:val="30"/>
          <w:lang w:val="en-US" w:eastAsia="zh-CN"/>
        </w:rPr>
        <w:t>5</w:t>
      </w:r>
      <w:r>
        <w:rPr>
          <w:rFonts w:hint="eastAsia" w:ascii="仿宋" w:hAnsi="仿宋" w:eastAsia="仿宋" w:cs="仿宋"/>
          <w:color w:val="auto"/>
          <w:kern w:val="0"/>
          <w:sz w:val="30"/>
          <w:szCs w:val="30"/>
        </w:rPr>
        <w:t>.</w:t>
      </w:r>
      <w:r>
        <w:rPr>
          <w:rFonts w:hint="eastAsia" w:ascii="仿宋" w:hAnsi="仿宋" w:eastAsia="仿宋" w:cs="仿宋"/>
          <w:color w:val="auto"/>
          <w:kern w:val="0"/>
          <w:sz w:val="30"/>
          <w:szCs w:val="30"/>
          <w:lang w:val="en-US" w:eastAsia="zh-CN"/>
        </w:rPr>
        <w:t>5</w:t>
      </w:r>
      <w:r>
        <w:rPr>
          <w:rFonts w:hint="eastAsia" w:ascii="仿宋" w:hAnsi="仿宋" w:eastAsia="仿宋" w:cs="仿宋"/>
          <w:color w:val="auto"/>
          <w:kern w:val="0"/>
          <w:sz w:val="30"/>
          <w:szCs w:val="30"/>
        </w:rPr>
        <w:t>.</w:t>
      </w:r>
      <w:r>
        <w:rPr>
          <w:rFonts w:hint="eastAsia" w:ascii="仿宋" w:hAnsi="仿宋" w:eastAsia="仿宋" w:cs="仿宋"/>
          <w:color w:val="auto"/>
          <w:kern w:val="0"/>
          <w:sz w:val="30"/>
          <w:szCs w:val="30"/>
          <w:lang w:val="en-US" w:eastAsia="zh-CN"/>
        </w:rPr>
        <w:t>8</w:t>
      </w:r>
      <w:r>
        <w:rPr>
          <w:rFonts w:hint="eastAsia" w:ascii="仿宋" w:hAnsi="仿宋" w:eastAsia="仿宋" w:cs="仿宋"/>
          <w:color w:val="auto"/>
          <w:kern w:val="0"/>
          <w:sz w:val="30"/>
          <w:szCs w:val="30"/>
        </w:rPr>
        <w:t>  　　联系电话：</w:t>
      </w:r>
      <w:r>
        <w:rPr>
          <w:rFonts w:hint="eastAsia" w:ascii="仿宋" w:hAnsi="仿宋" w:eastAsia="仿宋" w:cs="仿宋"/>
          <w:color w:val="auto"/>
          <w:kern w:val="0"/>
          <w:sz w:val="30"/>
          <w:szCs w:val="30"/>
          <w:lang w:val="en-US" w:eastAsia="zh-CN"/>
        </w:rPr>
        <w:t>18900708282</w:t>
      </w:r>
    </w:p>
    <w:p w14:paraId="3E63A4AA">
      <w:pPr>
        <w:shd w:val="clear" w:color="auto" w:fill="FFFFFF"/>
        <w:spacing w:line="600" w:lineRule="atLeas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单位负责人签字：</w:t>
      </w:r>
      <w:r>
        <w:rPr>
          <w:rFonts w:hint="eastAsia" w:ascii="仿宋" w:hAnsi="仿宋" w:eastAsia="仿宋" w:cs="仿宋"/>
          <w:color w:val="auto"/>
          <w:kern w:val="0"/>
          <w:sz w:val="30"/>
          <w:szCs w:val="30"/>
        </w:rPr>
        <w:br w:type="textWrapping" w:clear="all"/>
      </w:r>
    </w:p>
    <w:p w14:paraId="7A18DED9">
      <w:pPr>
        <w:shd w:val="clear" w:color="auto" w:fill="FFFFFF"/>
        <w:spacing w:line="600" w:lineRule="atLeast"/>
        <w:rPr>
          <w:rFonts w:hint="eastAsia" w:ascii="仿宋" w:hAnsi="仿宋" w:eastAsia="仿宋" w:cs="仿宋"/>
          <w:color w:val="auto"/>
          <w:kern w:val="0"/>
          <w:sz w:val="30"/>
          <w:szCs w:val="30"/>
        </w:rPr>
      </w:pPr>
    </w:p>
    <w:p w14:paraId="7F4191BD">
      <w:pPr>
        <w:shd w:val="clear" w:color="auto" w:fill="FFFFFF"/>
        <w:spacing w:line="600" w:lineRule="atLeast"/>
        <w:rPr>
          <w:rFonts w:hint="eastAsia" w:ascii="仿宋" w:hAnsi="仿宋" w:eastAsia="仿宋" w:cs="仿宋"/>
          <w:color w:val="auto"/>
          <w:kern w:val="0"/>
          <w:sz w:val="30"/>
          <w:szCs w:val="30"/>
        </w:rPr>
      </w:pPr>
    </w:p>
    <w:p w14:paraId="2C8707DF">
      <w:pPr>
        <w:shd w:val="clear" w:color="auto" w:fill="FFFFFF"/>
        <w:spacing w:line="600" w:lineRule="atLeast"/>
        <w:rPr>
          <w:rFonts w:hint="eastAsia" w:ascii="仿宋" w:hAnsi="仿宋" w:eastAsia="仿宋" w:cs="仿宋"/>
          <w:color w:val="auto"/>
          <w:kern w:val="0"/>
          <w:sz w:val="30"/>
          <w:szCs w:val="30"/>
        </w:rPr>
      </w:pPr>
    </w:p>
    <w:p w14:paraId="0DA50E39">
      <w:pPr>
        <w:widowControl/>
        <w:shd w:val="clear" w:color="auto" w:fill="FFFFFF"/>
        <w:spacing w:line="600" w:lineRule="atLeast"/>
        <w:jc w:val="lef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附件2</w:t>
      </w:r>
    </w:p>
    <w:p w14:paraId="02108B69">
      <w:pPr>
        <w:widowControl/>
        <w:shd w:val="clear" w:color="auto" w:fill="FFFFFF"/>
        <w:spacing w:line="600" w:lineRule="atLeast"/>
        <w:jc w:val="right"/>
        <w:rPr>
          <w:rFonts w:hint="default" w:ascii="仿宋" w:hAnsi="仿宋" w:eastAsia="仿宋" w:cs="仿宋"/>
          <w:color w:val="auto"/>
          <w:kern w:val="0"/>
          <w:sz w:val="30"/>
          <w:szCs w:val="30"/>
          <w:lang w:val="en-US" w:eastAsia="zh-CN"/>
        </w:rPr>
      </w:pPr>
      <w:r>
        <w:rPr>
          <w:rFonts w:hint="eastAsia" w:ascii="仿宋" w:hAnsi="仿宋" w:eastAsia="仿宋" w:cs="仿宋"/>
          <w:color w:val="auto"/>
          <w:kern w:val="0"/>
          <w:sz w:val="30"/>
          <w:szCs w:val="30"/>
          <w:lang w:eastAsia="zh-CN"/>
        </w:rPr>
        <w:t>202</w:t>
      </w:r>
      <w:r>
        <w:rPr>
          <w:rFonts w:hint="eastAsia" w:ascii="仿宋" w:hAnsi="仿宋" w:eastAsia="仿宋" w:cs="仿宋"/>
          <w:color w:val="auto"/>
          <w:kern w:val="0"/>
          <w:sz w:val="30"/>
          <w:szCs w:val="30"/>
          <w:lang w:val="en-US" w:eastAsia="zh-CN"/>
        </w:rPr>
        <w:t>4</w:t>
      </w:r>
      <w:r>
        <w:rPr>
          <w:rFonts w:hint="eastAsia" w:ascii="仿宋" w:hAnsi="仿宋" w:eastAsia="仿宋" w:cs="仿宋"/>
          <w:color w:val="auto"/>
          <w:kern w:val="0"/>
          <w:sz w:val="30"/>
          <w:szCs w:val="30"/>
          <w:lang w:eastAsia="zh-CN"/>
        </w:rPr>
        <w:t>年</w:t>
      </w:r>
      <w:r>
        <w:rPr>
          <w:rFonts w:hint="eastAsia" w:ascii="仿宋" w:hAnsi="仿宋" w:eastAsia="仿宋" w:cs="仿宋"/>
          <w:color w:val="auto"/>
          <w:kern w:val="0"/>
          <w:sz w:val="30"/>
          <w:szCs w:val="30"/>
        </w:rPr>
        <w:t>度部门整体支出绩效自评表</w:t>
      </w:r>
      <w:r>
        <w:rPr>
          <w:rFonts w:hint="eastAsia" w:ascii="仿宋" w:hAnsi="仿宋" w:eastAsia="仿宋" w:cs="仿宋"/>
          <w:color w:val="auto"/>
          <w:kern w:val="0"/>
          <w:sz w:val="30"/>
          <w:szCs w:val="30"/>
          <w:lang w:val="en-US" w:eastAsia="zh-CN"/>
        </w:rPr>
        <w:t xml:space="preserve">      单位万元</w:t>
      </w:r>
    </w:p>
    <w:tbl>
      <w:tblPr>
        <w:tblStyle w:val="7"/>
        <w:tblW w:w="9878" w:type="dxa"/>
        <w:jc w:val="center"/>
        <w:tblLayout w:type="fixed"/>
        <w:tblCellMar>
          <w:top w:w="15" w:type="dxa"/>
          <w:left w:w="15" w:type="dxa"/>
          <w:bottom w:w="15" w:type="dxa"/>
          <w:right w:w="15" w:type="dxa"/>
        </w:tblCellMar>
      </w:tblPr>
      <w:tblGrid>
        <w:gridCol w:w="965"/>
        <w:gridCol w:w="1026"/>
        <w:gridCol w:w="988"/>
        <w:gridCol w:w="1147"/>
        <w:gridCol w:w="241"/>
        <w:gridCol w:w="1273"/>
        <w:gridCol w:w="1293"/>
        <w:gridCol w:w="719"/>
        <w:gridCol w:w="1043"/>
        <w:gridCol w:w="1183"/>
      </w:tblGrid>
      <w:tr w14:paraId="49BD666D">
        <w:tblPrEx>
          <w:tblCellMar>
            <w:top w:w="15" w:type="dxa"/>
            <w:left w:w="15" w:type="dxa"/>
            <w:bottom w:w="15" w:type="dxa"/>
            <w:right w:w="15" w:type="dxa"/>
          </w:tblCellMar>
        </w:tblPrEx>
        <w:trPr>
          <w:trHeight w:val="624" w:hRule="atLeast"/>
          <w:jc w:val="center"/>
        </w:trPr>
        <w:tc>
          <w:tcPr>
            <w:tcW w:w="965"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2B98B9A7">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预算</w:t>
            </w:r>
          </w:p>
          <w:p w14:paraId="18C43AA5">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部门</w:t>
            </w:r>
          </w:p>
        </w:tc>
        <w:tc>
          <w:tcPr>
            <w:tcW w:w="8913" w:type="dxa"/>
            <w:gridSpan w:val="9"/>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138016C6">
            <w:pPr>
              <w:widowControl/>
              <w:spacing w:line="320" w:lineRule="atLeast"/>
              <w:jc w:val="center"/>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rPr>
              <w:t>益阳市</w:t>
            </w:r>
            <w:r>
              <w:rPr>
                <w:rFonts w:hint="eastAsia" w:ascii="仿宋" w:hAnsi="仿宋" w:eastAsia="仿宋" w:cs="仿宋"/>
                <w:color w:val="auto"/>
                <w:kern w:val="0"/>
                <w:sz w:val="24"/>
                <w:szCs w:val="24"/>
                <w:lang w:eastAsia="zh-CN"/>
              </w:rPr>
              <w:t>资阳区机关事务服务中心</w:t>
            </w:r>
          </w:p>
        </w:tc>
      </w:tr>
      <w:tr w14:paraId="34AE0D5D">
        <w:tblPrEx>
          <w:tblCellMar>
            <w:top w:w="15" w:type="dxa"/>
            <w:left w:w="15" w:type="dxa"/>
            <w:bottom w:w="15" w:type="dxa"/>
            <w:right w:w="15" w:type="dxa"/>
          </w:tblCellMar>
        </w:tblPrEx>
        <w:trPr>
          <w:trHeight w:val="624" w:hRule="atLeast"/>
          <w:jc w:val="center"/>
        </w:trPr>
        <w:tc>
          <w:tcPr>
            <w:tcW w:w="96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328F8BE2">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年度预</w:t>
            </w:r>
          </w:p>
          <w:p w14:paraId="63AB138F">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算申请</w:t>
            </w:r>
          </w:p>
          <w:p w14:paraId="758F8DEE">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（万元）</w:t>
            </w:r>
          </w:p>
        </w:tc>
        <w:tc>
          <w:tcPr>
            <w:tcW w:w="2014" w:type="dxa"/>
            <w:gridSpan w:val="2"/>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2961A674">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 </w:t>
            </w:r>
          </w:p>
        </w:tc>
        <w:tc>
          <w:tcPr>
            <w:tcW w:w="1147"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7520FBFC">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年初</w:t>
            </w:r>
          </w:p>
          <w:p w14:paraId="32390054">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预算数</w:t>
            </w:r>
          </w:p>
        </w:tc>
        <w:tc>
          <w:tcPr>
            <w:tcW w:w="1514"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71310EF5">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全年预算数</w:t>
            </w:r>
          </w:p>
        </w:tc>
        <w:tc>
          <w:tcPr>
            <w:tcW w:w="1293"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2FAADC67">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全年执行数</w:t>
            </w:r>
          </w:p>
        </w:tc>
        <w:tc>
          <w:tcPr>
            <w:tcW w:w="719"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242E09EB">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分值</w:t>
            </w:r>
          </w:p>
        </w:tc>
        <w:tc>
          <w:tcPr>
            <w:tcW w:w="1043"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5E264004">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执行率</w:t>
            </w:r>
          </w:p>
        </w:tc>
        <w:tc>
          <w:tcPr>
            <w:tcW w:w="1183"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7C21FEAE">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得分</w:t>
            </w:r>
          </w:p>
        </w:tc>
      </w:tr>
      <w:tr w14:paraId="07E57D9A">
        <w:tblPrEx>
          <w:tblCellMar>
            <w:top w:w="15" w:type="dxa"/>
            <w:left w:w="15" w:type="dxa"/>
            <w:bottom w:w="15" w:type="dxa"/>
            <w:right w:w="15" w:type="dxa"/>
          </w:tblCellMar>
        </w:tblPrEx>
        <w:trPr>
          <w:trHeight w:val="624" w:hRule="atLeast"/>
          <w:jc w:val="center"/>
        </w:trPr>
        <w:tc>
          <w:tcPr>
            <w:tcW w:w="965" w:type="dxa"/>
            <w:vMerge w:val="continue"/>
            <w:tcBorders>
              <w:top w:val="nil"/>
              <w:left w:val="single" w:color="auto" w:sz="8" w:space="0"/>
              <w:bottom w:val="single" w:color="auto" w:sz="8" w:space="0"/>
              <w:right w:val="single" w:color="auto" w:sz="8" w:space="0"/>
            </w:tcBorders>
            <w:vAlign w:val="center"/>
          </w:tcPr>
          <w:p w14:paraId="0F159A4C">
            <w:pPr>
              <w:widowControl/>
              <w:jc w:val="left"/>
              <w:rPr>
                <w:rFonts w:hint="eastAsia" w:ascii="仿宋" w:hAnsi="仿宋" w:eastAsia="仿宋" w:cs="仿宋"/>
                <w:color w:val="auto"/>
                <w:kern w:val="0"/>
                <w:sz w:val="24"/>
                <w:szCs w:val="24"/>
              </w:rPr>
            </w:pPr>
          </w:p>
        </w:tc>
        <w:tc>
          <w:tcPr>
            <w:tcW w:w="2014" w:type="dxa"/>
            <w:gridSpan w:val="2"/>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1342F188">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年度资金总额</w:t>
            </w:r>
          </w:p>
        </w:tc>
        <w:tc>
          <w:tcPr>
            <w:tcW w:w="1147"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1EE246EC">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917.91</w:t>
            </w:r>
          </w:p>
        </w:tc>
        <w:tc>
          <w:tcPr>
            <w:tcW w:w="1514" w:type="dxa"/>
            <w:gridSpan w:val="2"/>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61B75BAD">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942.83</w:t>
            </w:r>
          </w:p>
        </w:tc>
        <w:tc>
          <w:tcPr>
            <w:tcW w:w="129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438F3D6C">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940.83</w:t>
            </w:r>
          </w:p>
        </w:tc>
        <w:tc>
          <w:tcPr>
            <w:tcW w:w="719"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06287B3E">
            <w:pPr>
              <w:widowControl/>
              <w:spacing w:line="320" w:lineRule="atLeast"/>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10</w:t>
            </w:r>
          </w:p>
        </w:tc>
        <w:tc>
          <w:tcPr>
            <w:tcW w:w="104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424729DB">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100%</w:t>
            </w:r>
          </w:p>
        </w:tc>
        <w:tc>
          <w:tcPr>
            <w:tcW w:w="118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022CB191">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9.98</w:t>
            </w:r>
          </w:p>
        </w:tc>
      </w:tr>
      <w:tr w14:paraId="2535CF39">
        <w:tblPrEx>
          <w:tblCellMar>
            <w:top w:w="15" w:type="dxa"/>
            <w:left w:w="15" w:type="dxa"/>
            <w:bottom w:w="15" w:type="dxa"/>
            <w:right w:w="15" w:type="dxa"/>
          </w:tblCellMar>
        </w:tblPrEx>
        <w:trPr>
          <w:trHeight w:val="567" w:hRule="atLeast"/>
          <w:jc w:val="center"/>
        </w:trPr>
        <w:tc>
          <w:tcPr>
            <w:tcW w:w="965" w:type="dxa"/>
            <w:vMerge w:val="continue"/>
            <w:tcBorders>
              <w:top w:val="nil"/>
              <w:left w:val="single" w:color="auto" w:sz="8" w:space="0"/>
              <w:bottom w:val="single" w:color="auto" w:sz="8" w:space="0"/>
              <w:right w:val="single" w:color="auto" w:sz="8" w:space="0"/>
            </w:tcBorders>
            <w:vAlign w:val="center"/>
          </w:tcPr>
          <w:p w14:paraId="75981449">
            <w:pPr>
              <w:widowControl/>
              <w:jc w:val="left"/>
              <w:rPr>
                <w:rFonts w:hint="eastAsia" w:ascii="仿宋" w:hAnsi="仿宋" w:eastAsia="仿宋" w:cs="仿宋"/>
                <w:color w:val="auto"/>
                <w:kern w:val="0"/>
                <w:sz w:val="24"/>
                <w:szCs w:val="24"/>
              </w:rPr>
            </w:pPr>
          </w:p>
        </w:tc>
        <w:tc>
          <w:tcPr>
            <w:tcW w:w="4675" w:type="dxa"/>
            <w:gridSpan w:val="5"/>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78194596">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按收入性质分：</w:t>
            </w:r>
          </w:p>
        </w:tc>
        <w:tc>
          <w:tcPr>
            <w:tcW w:w="4238" w:type="dxa"/>
            <w:gridSpan w:val="4"/>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44ACB339">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按支出性质分：</w:t>
            </w:r>
          </w:p>
        </w:tc>
      </w:tr>
      <w:tr w14:paraId="2A66B8CC">
        <w:tblPrEx>
          <w:tblCellMar>
            <w:top w:w="15" w:type="dxa"/>
            <w:left w:w="15" w:type="dxa"/>
            <w:bottom w:w="15" w:type="dxa"/>
            <w:right w:w="15" w:type="dxa"/>
          </w:tblCellMar>
        </w:tblPrEx>
        <w:trPr>
          <w:trHeight w:val="567" w:hRule="atLeast"/>
          <w:jc w:val="center"/>
        </w:trPr>
        <w:tc>
          <w:tcPr>
            <w:tcW w:w="965" w:type="dxa"/>
            <w:vMerge w:val="continue"/>
            <w:tcBorders>
              <w:top w:val="nil"/>
              <w:left w:val="single" w:color="auto" w:sz="8" w:space="0"/>
              <w:bottom w:val="single" w:color="auto" w:sz="8" w:space="0"/>
              <w:right w:val="single" w:color="auto" w:sz="8" w:space="0"/>
            </w:tcBorders>
            <w:vAlign w:val="center"/>
          </w:tcPr>
          <w:p w14:paraId="3BDFFC88">
            <w:pPr>
              <w:widowControl/>
              <w:jc w:val="left"/>
              <w:rPr>
                <w:rFonts w:hint="eastAsia" w:ascii="仿宋" w:hAnsi="仿宋" w:eastAsia="仿宋" w:cs="仿宋"/>
                <w:color w:val="auto"/>
                <w:kern w:val="0"/>
                <w:sz w:val="24"/>
                <w:szCs w:val="24"/>
              </w:rPr>
            </w:pPr>
          </w:p>
        </w:tc>
        <w:tc>
          <w:tcPr>
            <w:tcW w:w="4675" w:type="dxa"/>
            <w:gridSpan w:val="5"/>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78A3A270">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rPr>
              <w:t>其中：  一般公共预算：</w:t>
            </w:r>
            <w:r>
              <w:rPr>
                <w:rFonts w:hint="eastAsia" w:ascii="仿宋" w:hAnsi="仿宋" w:eastAsia="仿宋" w:cs="仿宋"/>
                <w:color w:val="auto"/>
                <w:kern w:val="0"/>
                <w:sz w:val="24"/>
                <w:szCs w:val="24"/>
                <w:lang w:val="en-US" w:eastAsia="zh-CN"/>
              </w:rPr>
              <w:t>548.78</w:t>
            </w:r>
          </w:p>
        </w:tc>
        <w:tc>
          <w:tcPr>
            <w:tcW w:w="4238" w:type="dxa"/>
            <w:gridSpan w:val="4"/>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61B75DA3">
            <w:pPr>
              <w:widowControl/>
              <w:spacing w:line="32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rPr>
              <w:t>其中：基本支出：</w:t>
            </w:r>
            <w:r>
              <w:rPr>
                <w:rFonts w:hint="eastAsia" w:ascii="仿宋" w:hAnsi="仿宋" w:eastAsia="仿宋" w:cs="仿宋"/>
                <w:color w:val="auto"/>
                <w:kern w:val="0"/>
                <w:sz w:val="24"/>
                <w:szCs w:val="24"/>
                <w:lang w:val="en-US" w:eastAsia="zh-CN"/>
              </w:rPr>
              <w:t>317.09</w:t>
            </w:r>
          </w:p>
        </w:tc>
      </w:tr>
      <w:tr w14:paraId="2063C457">
        <w:tblPrEx>
          <w:tblCellMar>
            <w:top w:w="15" w:type="dxa"/>
            <w:left w:w="15" w:type="dxa"/>
            <w:bottom w:w="15" w:type="dxa"/>
            <w:right w:w="15" w:type="dxa"/>
          </w:tblCellMar>
        </w:tblPrEx>
        <w:trPr>
          <w:trHeight w:val="567" w:hRule="atLeast"/>
          <w:jc w:val="center"/>
        </w:trPr>
        <w:tc>
          <w:tcPr>
            <w:tcW w:w="965" w:type="dxa"/>
            <w:vMerge w:val="continue"/>
            <w:tcBorders>
              <w:top w:val="nil"/>
              <w:left w:val="single" w:color="auto" w:sz="8" w:space="0"/>
              <w:bottom w:val="single" w:color="auto" w:sz="8" w:space="0"/>
              <w:right w:val="single" w:color="auto" w:sz="8" w:space="0"/>
            </w:tcBorders>
            <w:vAlign w:val="center"/>
          </w:tcPr>
          <w:p w14:paraId="2774A406">
            <w:pPr>
              <w:widowControl/>
              <w:jc w:val="left"/>
              <w:rPr>
                <w:rFonts w:hint="eastAsia" w:ascii="仿宋" w:hAnsi="仿宋" w:eastAsia="仿宋" w:cs="仿宋"/>
                <w:color w:val="auto"/>
                <w:kern w:val="0"/>
                <w:sz w:val="24"/>
                <w:szCs w:val="24"/>
              </w:rPr>
            </w:pPr>
          </w:p>
        </w:tc>
        <w:tc>
          <w:tcPr>
            <w:tcW w:w="4675" w:type="dxa"/>
            <w:gridSpan w:val="5"/>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00F71D8A">
            <w:pPr>
              <w:widowControl/>
              <w:spacing w:line="320" w:lineRule="atLeast"/>
              <w:ind w:firstLine="800"/>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rPr>
              <w:t>政府性基金拨款：</w:t>
            </w:r>
          </w:p>
        </w:tc>
        <w:tc>
          <w:tcPr>
            <w:tcW w:w="4238" w:type="dxa"/>
            <w:gridSpan w:val="4"/>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20BD87F8">
            <w:pPr>
              <w:widowControl/>
              <w:spacing w:line="320" w:lineRule="atLeast"/>
              <w:ind w:firstLine="600"/>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rPr>
              <w:t>项目支出：</w:t>
            </w:r>
            <w:r>
              <w:rPr>
                <w:rFonts w:hint="eastAsia" w:ascii="仿宋" w:hAnsi="仿宋" w:eastAsia="仿宋" w:cs="仿宋"/>
                <w:color w:val="auto"/>
                <w:kern w:val="0"/>
                <w:sz w:val="24"/>
                <w:szCs w:val="24"/>
                <w:lang w:val="en-US" w:eastAsia="zh-CN"/>
              </w:rPr>
              <w:t>623.74</w:t>
            </w:r>
          </w:p>
        </w:tc>
      </w:tr>
      <w:tr w14:paraId="627A2A50">
        <w:tblPrEx>
          <w:tblCellMar>
            <w:top w:w="15" w:type="dxa"/>
            <w:left w:w="15" w:type="dxa"/>
            <w:bottom w:w="15" w:type="dxa"/>
            <w:right w:w="15" w:type="dxa"/>
          </w:tblCellMar>
        </w:tblPrEx>
        <w:trPr>
          <w:trHeight w:val="567" w:hRule="atLeast"/>
          <w:jc w:val="center"/>
        </w:trPr>
        <w:tc>
          <w:tcPr>
            <w:tcW w:w="965" w:type="dxa"/>
            <w:vMerge w:val="continue"/>
            <w:tcBorders>
              <w:top w:val="nil"/>
              <w:left w:val="single" w:color="auto" w:sz="8" w:space="0"/>
              <w:bottom w:val="single" w:color="auto" w:sz="8" w:space="0"/>
              <w:right w:val="single" w:color="auto" w:sz="8" w:space="0"/>
            </w:tcBorders>
            <w:vAlign w:val="center"/>
          </w:tcPr>
          <w:p w14:paraId="65DB5B2C">
            <w:pPr>
              <w:widowControl/>
              <w:jc w:val="left"/>
              <w:rPr>
                <w:rFonts w:hint="eastAsia" w:ascii="仿宋" w:hAnsi="仿宋" w:eastAsia="仿宋" w:cs="仿宋"/>
                <w:color w:val="auto"/>
                <w:kern w:val="0"/>
                <w:sz w:val="24"/>
                <w:szCs w:val="24"/>
              </w:rPr>
            </w:pPr>
          </w:p>
        </w:tc>
        <w:tc>
          <w:tcPr>
            <w:tcW w:w="4675" w:type="dxa"/>
            <w:gridSpan w:val="5"/>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03355CA0">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纳入专户管理的非税收入拨款：</w:t>
            </w:r>
          </w:p>
        </w:tc>
        <w:tc>
          <w:tcPr>
            <w:tcW w:w="4238" w:type="dxa"/>
            <w:gridSpan w:val="4"/>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0F3156F7">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 </w:t>
            </w:r>
          </w:p>
        </w:tc>
      </w:tr>
      <w:tr w14:paraId="314D5026">
        <w:tblPrEx>
          <w:tblCellMar>
            <w:top w:w="15" w:type="dxa"/>
            <w:left w:w="15" w:type="dxa"/>
            <w:bottom w:w="15" w:type="dxa"/>
            <w:right w:w="15" w:type="dxa"/>
          </w:tblCellMar>
        </w:tblPrEx>
        <w:trPr>
          <w:trHeight w:val="567" w:hRule="atLeast"/>
          <w:jc w:val="center"/>
        </w:trPr>
        <w:tc>
          <w:tcPr>
            <w:tcW w:w="965" w:type="dxa"/>
            <w:vMerge w:val="continue"/>
            <w:tcBorders>
              <w:top w:val="nil"/>
              <w:left w:val="single" w:color="auto" w:sz="8" w:space="0"/>
              <w:bottom w:val="single" w:color="auto" w:sz="8" w:space="0"/>
              <w:right w:val="single" w:color="auto" w:sz="8" w:space="0"/>
            </w:tcBorders>
            <w:vAlign w:val="center"/>
          </w:tcPr>
          <w:p w14:paraId="76071051">
            <w:pPr>
              <w:widowControl/>
              <w:jc w:val="left"/>
              <w:rPr>
                <w:rFonts w:hint="eastAsia" w:ascii="仿宋" w:hAnsi="仿宋" w:eastAsia="仿宋" w:cs="仿宋"/>
                <w:color w:val="auto"/>
                <w:kern w:val="0"/>
                <w:sz w:val="24"/>
                <w:szCs w:val="24"/>
              </w:rPr>
            </w:pPr>
          </w:p>
        </w:tc>
        <w:tc>
          <w:tcPr>
            <w:tcW w:w="4675" w:type="dxa"/>
            <w:gridSpan w:val="5"/>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61E51B51">
            <w:pPr>
              <w:widowControl/>
              <w:spacing w:line="320" w:lineRule="atLeast"/>
              <w:ind w:firstLine="1400"/>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rPr>
              <w:t>其他资金：</w:t>
            </w:r>
            <w:r>
              <w:rPr>
                <w:rFonts w:hint="eastAsia" w:ascii="仿宋" w:hAnsi="仿宋" w:eastAsia="仿宋" w:cs="仿宋"/>
                <w:color w:val="auto"/>
                <w:kern w:val="0"/>
                <w:sz w:val="24"/>
                <w:szCs w:val="24"/>
                <w:lang w:val="en-US" w:eastAsia="zh-CN"/>
              </w:rPr>
              <w:t>394.05</w:t>
            </w:r>
          </w:p>
        </w:tc>
        <w:tc>
          <w:tcPr>
            <w:tcW w:w="4238" w:type="dxa"/>
            <w:gridSpan w:val="4"/>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47EA445B">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 </w:t>
            </w:r>
          </w:p>
        </w:tc>
      </w:tr>
      <w:tr w14:paraId="5F1B269E">
        <w:tblPrEx>
          <w:tblCellMar>
            <w:top w:w="15" w:type="dxa"/>
            <w:left w:w="15" w:type="dxa"/>
            <w:bottom w:w="15" w:type="dxa"/>
            <w:right w:w="15" w:type="dxa"/>
          </w:tblCellMar>
        </w:tblPrEx>
        <w:trPr>
          <w:trHeight w:val="567" w:hRule="atLeast"/>
          <w:jc w:val="center"/>
        </w:trPr>
        <w:tc>
          <w:tcPr>
            <w:tcW w:w="96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4B254BEE">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年度总体目标</w:t>
            </w:r>
          </w:p>
        </w:tc>
        <w:tc>
          <w:tcPr>
            <w:tcW w:w="4675" w:type="dxa"/>
            <w:gridSpan w:val="5"/>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777AAC81">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预期目标</w:t>
            </w:r>
          </w:p>
        </w:tc>
        <w:tc>
          <w:tcPr>
            <w:tcW w:w="4238" w:type="dxa"/>
            <w:gridSpan w:val="4"/>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439FE6D9">
            <w:pPr>
              <w:widowControl/>
              <w:spacing w:line="32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实际完成情况</w:t>
            </w:r>
          </w:p>
        </w:tc>
      </w:tr>
      <w:tr w14:paraId="35F466D1">
        <w:tblPrEx>
          <w:tblCellMar>
            <w:top w:w="15" w:type="dxa"/>
            <w:left w:w="15" w:type="dxa"/>
            <w:bottom w:w="15" w:type="dxa"/>
            <w:right w:w="15" w:type="dxa"/>
          </w:tblCellMar>
        </w:tblPrEx>
        <w:trPr>
          <w:trHeight w:val="586" w:hRule="atLeast"/>
          <w:jc w:val="center"/>
        </w:trPr>
        <w:tc>
          <w:tcPr>
            <w:tcW w:w="965" w:type="dxa"/>
            <w:vMerge w:val="continue"/>
            <w:tcBorders>
              <w:top w:val="nil"/>
              <w:left w:val="single" w:color="auto" w:sz="8" w:space="0"/>
              <w:bottom w:val="single" w:color="auto" w:sz="8" w:space="0"/>
              <w:right w:val="single" w:color="auto" w:sz="8" w:space="0"/>
            </w:tcBorders>
            <w:vAlign w:val="center"/>
          </w:tcPr>
          <w:p w14:paraId="47C3F38C">
            <w:pPr>
              <w:widowControl/>
              <w:jc w:val="left"/>
              <w:rPr>
                <w:rFonts w:hint="eastAsia" w:ascii="仿宋" w:hAnsi="仿宋" w:eastAsia="仿宋" w:cs="仿宋"/>
                <w:color w:val="auto"/>
                <w:kern w:val="0"/>
                <w:sz w:val="30"/>
                <w:szCs w:val="30"/>
              </w:rPr>
            </w:pPr>
          </w:p>
        </w:tc>
        <w:tc>
          <w:tcPr>
            <w:tcW w:w="4675" w:type="dxa"/>
            <w:gridSpan w:val="5"/>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002C7100">
            <w:pPr>
              <w:widowControl/>
              <w:spacing w:line="300" w:lineRule="atLeast"/>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rPr>
              <w:t>1、保证</w:t>
            </w:r>
            <w:r>
              <w:rPr>
                <w:rFonts w:hint="eastAsia" w:ascii="仿宋" w:hAnsi="仿宋" w:eastAsia="仿宋" w:cs="仿宋"/>
                <w:color w:val="auto"/>
                <w:kern w:val="0"/>
                <w:sz w:val="24"/>
                <w:szCs w:val="24"/>
                <w:lang w:eastAsia="zh-CN"/>
              </w:rPr>
              <w:t>中心</w:t>
            </w:r>
            <w:r>
              <w:rPr>
                <w:rFonts w:hint="eastAsia" w:ascii="仿宋" w:hAnsi="仿宋" w:eastAsia="仿宋" w:cs="仿宋"/>
                <w:color w:val="auto"/>
                <w:kern w:val="0"/>
                <w:sz w:val="24"/>
                <w:szCs w:val="24"/>
              </w:rPr>
              <w:t>正常运转，推进各项专项工作正常运作，编制内在职人员控制率≤100%，控制在预算编制以内，2、全面完成</w:t>
            </w:r>
            <w:r>
              <w:rPr>
                <w:rFonts w:hint="eastAsia" w:ascii="仿宋" w:hAnsi="仿宋" w:eastAsia="仿宋" w:cs="仿宋"/>
                <w:color w:val="auto"/>
                <w:kern w:val="0"/>
                <w:sz w:val="24"/>
                <w:szCs w:val="24"/>
                <w:lang w:eastAsia="zh-CN"/>
              </w:rPr>
              <w:t>区</w:t>
            </w:r>
            <w:r>
              <w:rPr>
                <w:rFonts w:hint="eastAsia" w:ascii="仿宋" w:hAnsi="仿宋" w:eastAsia="仿宋" w:cs="仿宋"/>
                <w:color w:val="auto"/>
                <w:kern w:val="0"/>
                <w:sz w:val="24"/>
                <w:szCs w:val="24"/>
              </w:rPr>
              <w:t>委经济工作会议和</w:t>
            </w:r>
            <w:r>
              <w:rPr>
                <w:rFonts w:hint="eastAsia" w:ascii="仿宋" w:hAnsi="仿宋" w:eastAsia="仿宋" w:cs="仿宋"/>
                <w:color w:val="auto"/>
                <w:kern w:val="0"/>
                <w:sz w:val="24"/>
                <w:szCs w:val="24"/>
                <w:lang w:eastAsia="zh-CN"/>
              </w:rPr>
              <w:t>区</w:t>
            </w:r>
            <w:r>
              <w:rPr>
                <w:rFonts w:hint="eastAsia" w:ascii="仿宋" w:hAnsi="仿宋" w:eastAsia="仿宋" w:cs="仿宋"/>
                <w:color w:val="auto"/>
                <w:kern w:val="0"/>
                <w:sz w:val="24"/>
                <w:szCs w:val="24"/>
              </w:rPr>
              <w:t>政府工作报告确定的各项任务；</w:t>
            </w:r>
            <w:r>
              <w:rPr>
                <w:rFonts w:hint="eastAsia" w:ascii="仿宋" w:hAnsi="仿宋" w:eastAsia="仿宋" w:cs="仿宋"/>
                <w:color w:val="auto"/>
                <w:kern w:val="0"/>
                <w:sz w:val="24"/>
                <w:szCs w:val="24"/>
                <w:lang w:val="en-US" w:eastAsia="zh-CN"/>
              </w:rPr>
              <w:t>3、保证完成区重要会议会务；4、保证食堂用餐安全、力争推出新菜品；5、完成计划内房屋土地测量；6、做好新能源宣传，管理好公务用车平台。</w:t>
            </w:r>
          </w:p>
        </w:tc>
        <w:tc>
          <w:tcPr>
            <w:tcW w:w="4238" w:type="dxa"/>
            <w:gridSpan w:val="4"/>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1A74F924">
            <w:pPr>
              <w:pStyle w:val="5"/>
              <w:shd w:val="clear" w:color="auto" w:fill="FFFFFF"/>
              <w:spacing w:before="0" w:beforeAutospacing="0" w:after="0" w:afterAutospacing="0" w:line="600" w:lineRule="exact"/>
              <w:ind w:firstLine="645"/>
              <w:jc w:val="both"/>
              <w:rPr>
                <w:rFonts w:hint="eastAsia" w:ascii="仿宋_GB2312" w:hAnsi="仿宋_GB2312" w:eastAsia="仿宋_GB2312" w:cs="仿宋_GB2312"/>
                <w:color w:val="auto"/>
                <w:sz w:val="15"/>
                <w:szCs w:val="15"/>
              </w:rPr>
            </w:pPr>
            <w:r>
              <w:rPr>
                <w:rFonts w:hint="eastAsia" w:ascii="仿宋" w:hAnsi="仿宋" w:eastAsia="仿宋" w:cs="仿宋"/>
                <w:color w:val="auto"/>
                <w:kern w:val="0"/>
                <w:sz w:val="20"/>
                <w:szCs w:val="20"/>
                <w:lang w:val="en-US" w:eastAsia="zh-CN"/>
              </w:rPr>
              <w:t>2024年</w:t>
            </w:r>
            <w:r>
              <w:rPr>
                <w:rFonts w:hint="eastAsia" w:ascii="仿宋" w:hAnsi="仿宋" w:eastAsia="仿宋" w:cs="仿宋"/>
                <w:color w:val="auto"/>
                <w:kern w:val="0"/>
                <w:sz w:val="20"/>
                <w:szCs w:val="20"/>
              </w:rPr>
              <w:t>保证</w:t>
            </w:r>
            <w:r>
              <w:rPr>
                <w:rFonts w:hint="eastAsia" w:ascii="仿宋" w:hAnsi="仿宋" w:eastAsia="仿宋" w:cs="仿宋"/>
                <w:color w:val="auto"/>
                <w:kern w:val="0"/>
                <w:sz w:val="20"/>
                <w:szCs w:val="20"/>
                <w:lang w:eastAsia="zh-CN"/>
              </w:rPr>
              <w:t>中心</w:t>
            </w:r>
            <w:r>
              <w:rPr>
                <w:rFonts w:hint="eastAsia" w:ascii="仿宋" w:hAnsi="仿宋" w:eastAsia="仿宋" w:cs="仿宋"/>
                <w:color w:val="auto"/>
                <w:kern w:val="0"/>
                <w:sz w:val="20"/>
                <w:szCs w:val="20"/>
              </w:rPr>
              <w:t>正常运转，推进各项专项工作正常运作，编制内在职人员控制率≤100%，控制在预算编制以内，2、全面完成</w:t>
            </w:r>
            <w:r>
              <w:rPr>
                <w:rFonts w:hint="eastAsia" w:ascii="仿宋" w:hAnsi="仿宋" w:eastAsia="仿宋" w:cs="仿宋"/>
                <w:color w:val="auto"/>
                <w:kern w:val="0"/>
                <w:sz w:val="20"/>
                <w:szCs w:val="20"/>
                <w:lang w:eastAsia="zh-CN"/>
              </w:rPr>
              <w:t>了区</w:t>
            </w:r>
            <w:r>
              <w:rPr>
                <w:rFonts w:hint="eastAsia" w:ascii="仿宋" w:hAnsi="仿宋" w:eastAsia="仿宋" w:cs="仿宋"/>
                <w:color w:val="auto"/>
                <w:kern w:val="0"/>
                <w:sz w:val="20"/>
                <w:szCs w:val="20"/>
              </w:rPr>
              <w:t>委经济工作会议和</w:t>
            </w:r>
            <w:r>
              <w:rPr>
                <w:rFonts w:hint="eastAsia" w:ascii="仿宋" w:hAnsi="仿宋" w:eastAsia="仿宋" w:cs="仿宋"/>
                <w:color w:val="auto"/>
                <w:kern w:val="0"/>
                <w:sz w:val="20"/>
                <w:szCs w:val="20"/>
                <w:lang w:eastAsia="zh-CN"/>
              </w:rPr>
              <w:t>区</w:t>
            </w:r>
            <w:r>
              <w:rPr>
                <w:rFonts w:hint="eastAsia" w:ascii="仿宋" w:hAnsi="仿宋" w:eastAsia="仿宋" w:cs="仿宋"/>
                <w:color w:val="auto"/>
                <w:kern w:val="0"/>
                <w:sz w:val="20"/>
                <w:szCs w:val="20"/>
              </w:rPr>
              <w:t>政府工作报告确定的各项任务；</w:t>
            </w:r>
            <w:r>
              <w:rPr>
                <w:rFonts w:hint="eastAsia" w:ascii="仿宋" w:hAnsi="仿宋" w:eastAsia="仿宋" w:cs="仿宋"/>
                <w:color w:val="auto"/>
                <w:sz w:val="21"/>
                <w:szCs w:val="21"/>
              </w:rPr>
              <w:t>全年共完成会务保障</w:t>
            </w:r>
            <w:r>
              <w:rPr>
                <w:rFonts w:hint="eastAsia" w:ascii="仿宋" w:hAnsi="仿宋" w:eastAsia="仿宋" w:cs="仿宋"/>
                <w:color w:val="auto"/>
                <w:sz w:val="21"/>
                <w:szCs w:val="21"/>
                <w:lang w:val="en-US" w:eastAsia="zh-CN"/>
              </w:rPr>
              <w:t>120余</w:t>
            </w:r>
            <w:r>
              <w:rPr>
                <w:rFonts w:hint="eastAsia" w:ascii="仿宋" w:hAnsi="仿宋" w:eastAsia="仿宋" w:cs="仿宋"/>
                <w:color w:val="auto"/>
                <w:sz w:val="21"/>
                <w:szCs w:val="21"/>
              </w:rPr>
              <w:t>场次，会务服务得到广泛赞誉</w:t>
            </w:r>
            <w:r>
              <w:rPr>
                <w:rFonts w:hint="eastAsia" w:ascii="仿宋_GB2312" w:hAnsi="仿宋_GB2312" w:eastAsia="仿宋_GB2312" w:cs="仿宋_GB2312"/>
                <w:color w:val="auto"/>
                <w:sz w:val="21"/>
                <w:szCs w:val="21"/>
                <w:lang w:val="en-US" w:eastAsia="zh-CN"/>
              </w:rPr>
              <w:t>今年指导食堂创新菜品十余种，上半年</w:t>
            </w:r>
            <w:r>
              <w:rPr>
                <w:rFonts w:hint="eastAsia" w:ascii="仿宋_GB2312" w:hAnsi="仿宋" w:eastAsia="仿宋_GB2312"/>
                <w:color w:val="auto"/>
                <w:sz w:val="21"/>
                <w:szCs w:val="21"/>
              </w:rPr>
              <w:t>考评综合得分</w:t>
            </w:r>
            <w:r>
              <w:rPr>
                <w:rFonts w:hint="eastAsia" w:ascii="仿宋_GB2312" w:hAnsi="仿宋_GB2312" w:eastAsia="仿宋_GB2312" w:cs="仿宋_GB2312"/>
                <w:color w:val="auto"/>
                <w:sz w:val="21"/>
                <w:szCs w:val="21"/>
                <w:lang w:val="en-US" w:eastAsia="zh-CN"/>
              </w:rPr>
              <w:t>94.3分，下半年</w:t>
            </w:r>
            <w:r>
              <w:rPr>
                <w:rFonts w:hint="eastAsia" w:ascii="仿宋_GB2312" w:hAnsi="仿宋" w:eastAsia="仿宋_GB2312"/>
                <w:color w:val="auto"/>
                <w:sz w:val="21"/>
                <w:szCs w:val="21"/>
              </w:rPr>
              <w:t>考评综合得分</w:t>
            </w:r>
            <w:r>
              <w:rPr>
                <w:rFonts w:hint="eastAsia" w:ascii="仿宋_GB2312" w:hAnsi="仿宋" w:eastAsia="仿宋_GB2312"/>
                <w:color w:val="auto"/>
                <w:sz w:val="21"/>
                <w:szCs w:val="21"/>
                <w:lang w:val="en-US" w:eastAsia="zh-CN"/>
              </w:rPr>
              <w:t>88.92</w:t>
            </w:r>
            <w:r>
              <w:rPr>
                <w:rFonts w:hint="eastAsia" w:ascii="仿宋_GB2312" w:hAnsi="仿宋" w:eastAsia="仿宋_GB2312"/>
                <w:color w:val="auto"/>
                <w:sz w:val="21"/>
                <w:szCs w:val="21"/>
              </w:rPr>
              <w:t>分</w:t>
            </w:r>
            <w:r>
              <w:rPr>
                <w:rFonts w:hint="eastAsia" w:ascii="仿宋_GB2312" w:hAnsi="仿宋_GB2312" w:eastAsia="仿宋_GB2312" w:cs="仿宋_GB2312"/>
                <w:color w:val="auto"/>
                <w:sz w:val="21"/>
                <w:szCs w:val="21"/>
                <w:lang w:val="en-US" w:eastAsia="zh-CN"/>
              </w:rPr>
              <w:t>。</w:t>
            </w:r>
            <w:r>
              <w:rPr>
                <w:rFonts w:hint="eastAsia" w:ascii="仿宋_GB2312" w:eastAsia="仿宋_GB2312"/>
                <w:color w:val="auto"/>
                <w:sz w:val="21"/>
                <w:szCs w:val="21"/>
                <w:lang w:eastAsia="zh-CN"/>
              </w:rPr>
              <w:t>全平台车辆安全行驶</w:t>
            </w:r>
            <w:r>
              <w:rPr>
                <w:rFonts w:hint="eastAsia" w:ascii="仿宋_GB2312" w:eastAsia="仿宋_GB2312"/>
                <w:color w:val="auto"/>
                <w:sz w:val="21"/>
                <w:szCs w:val="21"/>
                <w:lang w:val="en-US" w:eastAsia="zh-CN"/>
              </w:rPr>
              <w:t>58万公里，公务出行次数达2684次</w:t>
            </w:r>
            <w:r>
              <w:rPr>
                <w:rFonts w:hint="eastAsia" w:ascii="仿宋" w:hAnsi="仿宋" w:eastAsia="仿宋" w:cs="仿宋"/>
                <w:color w:val="auto"/>
                <w:sz w:val="21"/>
                <w:szCs w:val="21"/>
                <w:lang w:val="en-US" w:eastAsia="zh-CN"/>
              </w:rPr>
              <w:t>城区36处地方完成了土地测绘，5家单位8栋房屋完成了房屋测量；长春镇、迎风桥镇已完成土地测绘和房屋测量区政府院内17家单位。已办理不动产权证共计30本</w:t>
            </w:r>
            <w:r>
              <w:rPr>
                <w:rFonts w:hint="eastAsia" w:ascii="仿宋_GB2312" w:hAnsi="仿宋_GB2312" w:eastAsia="仿宋_GB2312" w:cs="仿宋_GB2312"/>
                <w:color w:val="auto"/>
                <w:sz w:val="21"/>
                <w:szCs w:val="21"/>
                <w:lang w:val="en-US" w:eastAsia="zh-CN"/>
              </w:rPr>
              <w:t>在鹅洋池开展2024年全国节能宣传周活动。发送节能宣传册三百余份</w:t>
            </w:r>
          </w:p>
          <w:p w14:paraId="58D55424">
            <w:pPr>
              <w:widowControl/>
              <w:spacing w:line="300" w:lineRule="atLeast"/>
              <w:rPr>
                <w:rFonts w:hint="eastAsia" w:ascii="仿宋" w:hAnsi="仿宋" w:eastAsia="仿宋" w:cs="仿宋"/>
                <w:color w:val="auto"/>
                <w:kern w:val="0"/>
                <w:sz w:val="16"/>
                <w:szCs w:val="16"/>
              </w:rPr>
            </w:pPr>
          </w:p>
          <w:p w14:paraId="3268EBF0">
            <w:pPr>
              <w:widowControl/>
              <w:spacing w:line="300" w:lineRule="atLeast"/>
              <w:rPr>
                <w:rFonts w:hint="eastAsia" w:ascii="仿宋" w:hAnsi="仿宋" w:eastAsia="仿宋" w:cs="仿宋"/>
                <w:color w:val="auto"/>
                <w:kern w:val="0"/>
                <w:sz w:val="24"/>
                <w:szCs w:val="24"/>
                <w:lang w:val="en-US" w:eastAsia="zh-CN"/>
              </w:rPr>
            </w:pPr>
          </w:p>
        </w:tc>
      </w:tr>
      <w:tr w14:paraId="5FD27136">
        <w:tblPrEx>
          <w:tblCellMar>
            <w:top w:w="15" w:type="dxa"/>
            <w:left w:w="15" w:type="dxa"/>
            <w:bottom w:w="15" w:type="dxa"/>
            <w:right w:w="15" w:type="dxa"/>
          </w:tblCellMar>
        </w:tblPrEx>
        <w:trPr>
          <w:jc w:val="center"/>
        </w:trPr>
        <w:tc>
          <w:tcPr>
            <w:tcW w:w="96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26DE0DBD">
            <w:pPr>
              <w:widowControl/>
              <w:spacing w:line="320" w:lineRule="atLeast"/>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绩</w:t>
            </w:r>
          </w:p>
          <w:p w14:paraId="1216BB26">
            <w:pPr>
              <w:widowControl/>
              <w:spacing w:line="320" w:lineRule="atLeast"/>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效</w:t>
            </w:r>
          </w:p>
          <w:p w14:paraId="66507092">
            <w:pPr>
              <w:widowControl/>
              <w:spacing w:line="320" w:lineRule="atLeast"/>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指</w:t>
            </w:r>
          </w:p>
          <w:p w14:paraId="553FE9C8">
            <w:pPr>
              <w:widowControl/>
              <w:spacing w:line="320" w:lineRule="atLeast"/>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标</w:t>
            </w:r>
          </w:p>
          <w:p w14:paraId="7C3874A8">
            <w:pPr>
              <w:widowControl/>
              <w:spacing w:line="320" w:lineRule="atLeast"/>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绩</w:t>
            </w:r>
          </w:p>
          <w:p w14:paraId="39A2FD54">
            <w:pPr>
              <w:widowControl/>
              <w:spacing w:line="320" w:lineRule="atLeast"/>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效</w:t>
            </w:r>
          </w:p>
          <w:p w14:paraId="6CF23835">
            <w:pPr>
              <w:widowControl/>
              <w:spacing w:line="320" w:lineRule="atLeast"/>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指</w:t>
            </w:r>
          </w:p>
          <w:p w14:paraId="0AAFCCD6">
            <w:pPr>
              <w:widowControl/>
              <w:spacing w:line="320" w:lineRule="atLeast"/>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标</w:t>
            </w:r>
          </w:p>
        </w:tc>
        <w:tc>
          <w:tcPr>
            <w:tcW w:w="102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52BFE9A4">
            <w:pPr>
              <w:widowControl/>
              <w:spacing w:line="300" w:lineRule="atLeast"/>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一级</w:t>
            </w:r>
          </w:p>
          <w:p w14:paraId="55BF6CBA">
            <w:pPr>
              <w:widowControl/>
              <w:spacing w:line="300" w:lineRule="atLeast"/>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指标</w:t>
            </w:r>
          </w:p>
        </w:tc>
        <w:tc>
          <w:tcPr>
            <w:tcW w:w="988"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0A4B1E0B">
            <w:pPr>
              <w:widowControl/>
              <w:spacing w:line="300" w:lineRule="atLeast"/>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二级指标</w:t>
            </w:r>
          </w:p>
        </w:tc>
        <w:tc>
          <w:tcPr>
            <w:tcW w:w="1388"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6CB9A4B1">
            <w:pPr>
              <w:widowControl/>
              <w:spacing w:line="300" w:lineRule="atLeast"/>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三级指标</w:t>
            </w:r>
          </w:p>
        </w:tc>
        <w:tc>
          <w:tcPr>
            <w:tcW w:w="1273"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691A871F">
            <w:pPr>
              <w:widowControl/>
              <w:spacing w:line="300" w:lineRule="atLeast"/>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年度</w:t>
            </w:r>
          </w:p>
          <w:p w14:paraId="5F543762">
            <w:pPr>
              <w:widowControl/>
              <w:spacing w:line="300" w:lineRule="atLeast"/>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指标值</w:t>
            </w:r>
          </w:p>
        </w:tc>
        <w:tc>
          <w:tcPr>
            <w:tcW w:w="1293"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2BED3E18">
            <w:pPr>
              <w:widowControl/>
              <w:spacing w:line="300" w:lineRule="atLeast"/>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实际完成值</w:t>
            </w:r>
          </w:p>
        </w:tc>
        <w:tc>
          <w:tcPr>
            <w:tcW w:w="719"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481BB1CC">
            <w:pPr>
              <w:widowControl/>
              <w:spacing w:line="300" w:lineRule="atLeast"/>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分值</w:t>
            </w:r>
          </w:p>
        </w:tc>
        <w:tc>
          <w:tcPr>
            <w:tcW w:w="1043"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04966845">
            <w:pPr>
              <w:widowControl/>
              <w:spacing w:line="300" w:lineRule="atLeast"/>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得分</w:t>
            </w:r>
          </w:p>
        </w:tc>
        <w:tc>
          <w:tcPr>
            <w:tcW w:w="1183"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4BE16C2C">
            <w:pPr>
              <w:widowControl/>
              <w:spacing w:line="300" w:lineRule="atLeast"/>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偏差原因</w:t>
            </w:r>
          </w:p>
          <w:p w14:paraId="1D417440">
            <w:pPr>
              <w:widowControl/>
              <w:spacing w:line="300" w:lineRule="atLeast"/>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分析及改进措施</w:t>
            </w:r>
          </w:p>
        </w:tc>
      </w:tr>
      <w:tr w14:paraId="30D14605">
        <w:tblPrEx>
          <w:tblCellMar>
            <w:top w:w="15" w:type="dxa"/>
            <w:left w:w="15" w:type="dxa"/>
            <w:bottom w:w="15" w:type="dxa"/>
            <w:right w:w="15" w:type="dxa"/>
          </w:tblCellMar>
        </w:tblPrEx>
        <w:trPr>
          <w:trHeight w:val="90" w:hRule="atLeast"/>
          <w:jc w:val="center"/>
        </w:trPr>
        <w:tc>
          <w:tcPr>
            <w:tcW w:w="965" w:type="dxa"/>
            <w:vMerge w:val="continue"/>
            <w:tcBorders>
              <w:top w:val="nil"/>
              <w:left w:val="single" w:color="auto" w:sz="8" w:space="0"/>
              <w:bottom w:val="single" w:color="auto" w:sz="8" w:space="0"/>
              <w:right w:val="single" w:color="auto" w:sz="8" w:space="0"/>
            </w:tcBorders>
            <w:vAlign w:val="center"/>
          </w:tcPr>
          <w:p w14:paraId="79A00358">
            <w:pPr>
              <w:widowControl/>
              <w:jc w:val="left"/>
              <w:rPr>
                <w:rFonts w:hint="eastAsia" w:ascii="仿宋" w:hAnsi="仿宋" w:eastAsia="仿宋" w:cs="仿宋"/>
                <w:color w:val="auto"/>
                <w:kern w:val="0"/>
                <w:sz w:val="21"/>
                <w:szCs w:val="21"/>
              </w:rPr>
            </w:pPr>
          </w:p>
        </w:tc>
        <w:tc>
          <w:tcPr>
            <w:tcW w:w="1026"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23745A3A">
            <w:pPr>
              <w:widowControl/>
              <w:spacing w:line="300" w:lineRule="atLeast"/>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产出</w:t>
            </w:r>
          </w:p>
          <w:p w14:paraId="0C2F2853">
            <w:pPr>
              <w:widowControl/>
              <w:spacing w:line="300" w:lineRule="atLeast"/>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指标</w:t>
            </w:r>
          </w:p>
          <w:p w14:paraId="135C5AB0">
            <w:pPr>
              <w:widowControl/>
              <w:spacing w:line="90" w:lineRule="atLeast"/>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（50分）</w:t>
            </w:r>
          </w:p>
        </w:tc>
        <w:tc>
          <w:tcPr>
            <w:tcW w:w="988"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170A3E70">
            <w:pPr>
              <w:widowControl/>
              <w:spacing w:line="90" w:lineRule="atLeast"/>
              <w:jc w:val="center"/>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lang w:eastAsia="zh-CN"/>
              </w:rPr>
              <w:t>会务与公车管理</w:t>
            </w:r>
          </w:p>
        </w:tc>
        <w:tc>
          <w:tcPr>
            <w:tcW w:w="1388" w:type="dxa"/>
            <w:gridSpan w:val="2"/>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5F19D6CC">
            <w:pPr>
              <w:widowControl/>
              <w:spacing w:line="90" w:lineRule="atLeast"/>
              <w:jc w:val="center"/>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lang w:eastAsia="zh-CN"/>
              </w:rPr>
              <w:t>做好区重点会务</w:t>
            </w:r>
          </w:p>
        </w:tc>
        <w:tc>
          <w:tcPr>
            <w:tcW w:w="127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5625CC13">
            <w:pPr>
              <w:widowControl/>
              <w:spacing w:line="90" w:lineRule="atLeast"/>
              <w:jc w:val="center"/>
              <w:rPr>
                <w:rFonts w:hint="default"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100</w:t>
            </w:r>
          </w:p>
        </w:tc>
        <w:tc>
          <w:tcPr>
            <w:tcW w:w="129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1E1674A9">
            <w:pPr>
              <w:widowControl/>
              <w:spacing w:line="90" w:lineRule="atLeast"/>
              <w:jc w:val="center"/>
              <w:rPr>
                <w:rFonts w:hint="default"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100%</w:t>
            </w:r>
          </w:p>
        </w:tc>
        <w:tc>
          <w:tcPr>
            <w:tcW w:w="719"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7B530AA5">
            <w:pPr>
              <w:widowControl/>
              <w:spacing w:line="90" w:lineRule="atLeast"/>
              <w:jc w:val="center"/>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6</w:t>
            </w:r>
          </w:p>
        </w:tc>
        <w:tc>
          <w:tcPr>
            <w:tcW w:w="104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1DD904EB">
            <w:pPr>
              <w:widowControl/>
              <w:spacing w:line="90" w:lineRule="atLeast"/>
              <w:jc w:val="center"/>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6</w:t>
            </w:r>
          </w:p>
        </w:tc>
        <w:tc>
          <w:tcPr>
            <w:tcW w:w="118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5B829363">
            <w:pPr>
              <w:widowControl/>
              <w:spacing w:line="90" w:lineRule="atLeast"/>
              <w:jc w:val="both"/>
              <w:rPr>
                <w:rFonts w:hint="eastAsia" w:ascii="仿宋" w:hAnsi="仿宋" w:eastAsia="仿宋" w:cs="仿宋"/>
                <w:color w:val="auto"/>
                <w:kern w:val="0"/>
                <w:sz w:val="21"/>
                <w:szCs w:val="21"/>
              </w:rPr>
            </w:pPr>
          </w:p>
        </w:tc>
      </w:tr>
      <w:tr w14:paraId="5E3D4123">
        <w:tblPrEx>
          <w:tblCellMar>
            <w:top w:w="15" w:type="dxa"/>
            <w:left w:w="15" w:type="dxa"/>
            <w:bottom w:w="15" w:type="dxa"/>
            <w:right w:w="15" w:type="dxa"/>
          </w:tblCellMar>
        </w:tblPrEx>
        <w:trPr>
          <w:trHeight w:val="1431" w:hRule="atLeast"/>
          <w:jc w:val="center"/>
        </w:trPr>
        <w:tc>
          <w:tcPr>
            <w:tcW w:w="965" w:type="dxa"/>
            <w:vMerge w:val="continue"/>
            <w:tcBorders>
              <w:top w:val="nil"/>
              <w:left w:val="single" w:color="auto" w:sz="8" w:space="0"/>
              <w:bottom w:val="single" w:color="auto" w:sz="8" w:space="0"/>
              <w:right w:val="single" w:color="auto" w:sz="8" w:space="0"/>
            </w:tcBorders>
            <w:vAlign w:val="center"/>
          </w:tcPr>
          <w:p w14:paraId="14E2E0E8">
            <w:pPr>
              <w:widowControl/>
              <w:jc w:val="left"/>
              <w:rPr>
                <w:rFonts w:hint="eastAsia" w:ascii="仿宋" w:hAnsi="仿宋" w:eastAsia="仿宋" w:cs="仿宋"/>
                <w:color w:val="auto"/>
                <w:kern w:val="0"/>
                <w:sz w:val="30"/>
                <w:szCs w:val="30"/>
              </w:rPr>
            </w:pPr>
          </w:p>
        </w:tc>
        <w:tc>
          <w:tcPr>
            <w:tcW w:w="1026" w:type="dxa"/>
            <w:vMerge w:val="continue"/>
            <w:tcBorders>
              <w:top w:val="nil"/>
              <w:left w:val="single" w:color="auto" w:sz="8" w:space="0"/>
              <w:bottom w:val="single" w:color="auto" w:sz="8" w:space="0"/>
              <w:right w:val="single" w:color="auto" w:sz="8" w:space="0"/>
            </w:tcBorders>
            <w:vAlign w:val="center"/>
          </w:tcPr>
          <w:p w14:paraId="4871CAE7">
            <w:pPr>
              <w:widowControl/>
              <w:jc w:val="left"/>
              <w:rPr>
                <w:rFonts w:hint="eastAsia" w:ascii="仿宋" w:hAnsi="仿宋" w:eastAsia="仿宋" w:cs="仿宋"/>
                <w:color w:val="auto"/>
                <w:kern w:val="0"/>
                <w:sz w:val="30"/>
                <w:szCs w:val="30"/>
              </w:rPr>
            </w:pPr>
          </w:p>
        </w:tc>
        <w:tc>
          <w:tcPr>
            <w:tcW w:w="988" w:type="dxa"/>
            <w:vMerge w:val="continue"/>
            <w:tcBorders>
              <w:top w:val="nil"/>
              <w:left w:val="single" w:color="auto" w:sz="8" w:space="0"/>
              <w:bottom w:val="single" w:color="auto" w:sz="8" w:space="0"/>
              <w:right w:val="single" w:color="auto" w:sz="8" w:space="0"/>
            </w:tcBorders>
            <w:vAlign w:val="center"/>
          </w:tcPr>
          <w:p w14:paraId="7A019421">
            <w:pPr>
              <w:widowControl/>
              <w:jc w:val="left"/>
              <w:rPr>
                <w:rFonts w:hint="eastAsia" w:ascii="仿宋" w:hAnsi="仿宋" w:eastAsia="仿宋" w:cs="仿宋"/>
                <w:color w:val="auto"/>
                <w:kern w:val="0"/>
                <w:sz w:val="30"/>
                <w:szCs w:val="30"/>
              </w:rPr>
            </w:pPr>
          </w:p>
        </w:tc>
        <w:tc>
          <w:tcPr>
            <w:tcW w:w="1388" w:type="dxa"/>
            <w:gridSpan w:val="2"/>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633E4AAB">
            <w:pPr>
              <w:widowControl/>
              <w:spacing w:line="30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eastAsia="zh-CN"/>
              </w:rPr>
              <w:t>管理好公务用车平台</w:t>
            </w:r>
          </w:p>
        </w:tc>
        <w:tc>
          <w:tcPr>
            <w:tcW w:w="127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699CF39D">
            <w:pPr>
              <w:widowControl/>
              <w:spacing w:line="30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2300次</w:t>
            </w:r>
          </w:p>
        </w:tc>
        <w:tc>
          <w:tcPr>
            <w:tcW w:w="129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6D50D865">
            <w:pPr>
              <w:widowControl/>
              <w:spacing w:line="300" w:lineRule="atLeast"/>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100%</w:t>
            </w:r>
          </w:p>
        </w:tc>
        <w:tc>
          <w:tcPr>
            <w:tcW w:w="719"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4B322113">
            <w:pPr>
              <w:widowControl/>
              <w:spacing w:line="300" w:lineRule="atLeast"/>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6</w:t>
            </w:r>
          </w:p>
        </w:tc>
        <w:tc>
          <w:tcPr>
            <w:tcW w:w="104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501BBE9F">
            <w:pPr>
              <w:widowControl/>
              <w:spacing w:line="300" w:lineRule="atLeast"/>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6</w:t>
            </w:r>
          </w:p>
        </w:tc>
        <w:tc>
          <w:tcPr>
            <w:tcW w:w="118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08387388">
            <w:pPr>
              <w:widowControl/>
              <w:spacing w:line="300" w:lineRule="atLeast"/>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 </w:t>
            </w:r>
          </w:p>
        </w:tc>
      </w:tr>
      <w:tr w14:paraId="56EC2D9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30" w:hRule="atLeast"/>
          <w:jc w:val="center"/>
        </w:trPr>
        <w:tc>
          <w:tcPr>
            <w:tcW w:w="965" w:type="dxa"/>
            <w:vMerge w:val="continue"/>
            <w:tcBorders>
              <w:top w:val="nil"/>
            </w:tcBorders>
          </w:tcPr>
          <w:p w14:paraId="7AEB4D2C">
            <w:pPr>
              <w:jc w:val="center"/>
              <w:rPr>
                <w:rFonts w:hint="eastAsia" w:ascii="仿宋" w:hAnsi="仿宋" w:eastAsia="仿宋" w:cs="仿宋"/>
                <w:color w:val="auto"/>
                <w:sz w:val="24"/>
                <w:szCs w:val="24"/>
              </w:rPr>
            </w:pPr>
          </w:p>
        </w:tc>
        <w:tc>
          <w:tcPr>
            <w:tcW w:w="1026" w:type="dxa"/>
            <w:vMerge w:val="restart"/>
          </w:tcPr>
          <w:p w14:paraId="2D2A31B8">
            <w:pPr>
              <w:pStyle w:val="12"/>
              <w:jc w:val="center"/>
              <w:rPr>
                <w:rFonts w:hint="eastAsia" w:ascii="仿宋" w:hAnsi="仿宋" w:eastAsia="仿宋" w:cs="仿宋"/>
                <w:color w:val="auto"/>
                <w:sz w:val="21"/>
                <w:szCs w:val="21"/>
              </w:rPr>
            </w:pPr>
          </w:p>
          <w:p w14:paraId="691E3569">
            <w:pPr>
              <w:pStyle w:val="12"/>
              <w:jc w:val="center"/>
              <w:rPr>
                <w:rFonts w:hint="eastAsia" w:ascii="仿宋" w:hAnsi="仿宋" w:eastAsia="仿宋" w:cs="仿宋"/>
                <w:color w:val="auto"/>
                <w:sz w:val="21"/>
                <w:szCs w:val="21"/>
              </w:rPr>
            </w:pPr>
          </w:p>
          <w:p w14:paraId="0FE82328">
            <w:pPr>
              <w:pStyle w:val="12"/>
              <w:jc w:val="center"/>
              <w:rPr>
                <w:rFonts w:hint="eastAsia" w:ascii="仿宋" w:hAnsi="仿宋" w:eastAsia="仿宋" w:cs="仿宋"/>
                <w:color w:val="auto"/>
                <w:sz w:val="21"/>
                <w:szCs w:val="21"/>
              </w:rPr>
            </w:pPr>
          </w:p>
          <w:p w14:paraId="325A67D4">
            <w:pPr>
              <w:pStyle w:val="12"/>
              <w:spacing w:before="12"/>
              <w:jc w:val="center"/>
              <w:rPr>
                <w:rFonts w:hint="eastAsia" w:ascii="仿宋" w:hAnsi="仿宋" w:eastAsia="仿宋" w:cs="仿宋"/>
                <w:color w:val="auto"/>
                <w:sz w:val="21"/>
                <w:szCs w:val="21"/>
              </w:rPr>
            </w:pPr>
          </w:p>
          <w:p w14:paraId="71D6670E">
            <w:pPr>
              <w:pStyle w:val="12"/>
              <w:ind w:left="140"/>
              <w:jc w:val="center"/>
              <w:rPr>
                <w:rFonts w:hint="eastAsia" w:ascii="仿宋" w:hAnsi="仿宋" w:eastAsia="仿宋" w:cs="仿宋"/>
                <w:color w:val="auto"/>
                <w:sz w:val="21"/>
                <w:szCs w:val="21"/>
              </w:rPr>
            </w:pPr>
            <w:r>
              <w:rPr>
                <w:rFonts w:hint="eastAsia" w:ascii="仿宋" w:hAnsi="仿宋" w:eastAsia="仿宋" w:cs="仿宋"/>
                <w:color w:val="auto"/>
                <w:w w:val="95"/>
                <w:sz w:val="21"/>
                <w:szCs w:val="21"/>
              </w:rPr>
              <w:t>产出指标</w:t>
            </w:r>
          </w:p>
          <w:p w14:paraId="1C7E7BCA">
            <w:pPr>
              <w:pStyle w:val="12"/>
              <w:spacing w:before="9"/>
              <w:jc w:val="center"/>
              <w:rPr>
                <w:rFonts w:hint="eastAsia" w:ascii="仿宋" w:hAnsi="仿宋" w:eastAsia="仿宋" w:cs="仿宋"/>
                <w:color w:val="auto"/>
                <w:sz w:val="21"/>
                <w:szCs w:val="21"/>
              </w:rPr>
            </w:pPr>
          </w:p>
          <w:p w14:paraId="2B011EA2">
            <w:pPr>
              <w:pStyle w:val="12"/>
              <w:spacing w:before="1"/>
              <w:ind w:left="214"/>
              <w:jc w:val="center"/>
              <w:rPr>
                <w:rFonts w:hint="eastAsia" w:ascii="仿宋" w:hAnsi="仿宋" w:eastAsia="仿宋" w:cs="仿宋"/>
                <w:color w:val="auto"/>
                <w:sz w:val="21"/>
                <w:szCs w:val="21"/>
              </w:rPr>
            </w:pPr>
            <w:r>
              <w:rPr>
                <w:rFonts w:hint="eastAsia" w:ascii="仿宋" w:hAnsi="仿宋" w:eastAsia="仿宋" w:cs="仿宋"/>
                <w:color w:val="auto"/>
                <w:spacing w:val="2"/>
                <w:w w:val="90"/>
                <w:sz w:val="21"/>
                <w:szCs w:val="21"/>
              </w:rPr>
              <w:t xml:space="preserve">( </w:t>
            </w:r>
            <w:r>
              <w:rPr>
                <w:rFonts w:hint="eastAsia" w:ascii="仿宋" w:hAnsi="仿宋" w:eastAsia="仿宋" w:cs="仿宋"/>
                <w:color w:val="auto"/>
                <w:sz w:val="21"/>
                <w:szCs w:val="21"/>
              </w:rPr>
              <w:t>50</w:t>
            </w:r>
            <w:r>
              <w:rPr>
                <w:rFonts w:hint="eastAsia" w:ascii="仿宋" w:hAnsi="仿宋" w:eastAsia="仿宋" w:cs="仿宋"/>
                <w:color w:val="auto"/>
                <w:spacing w:val="-21"/>
                <w:sz w:val="21"/>
                <w:szCs w:val="21"/>
              </w:rPr>
              <w:t xml:space="preserve"> </w:t>
            </w:r>
            <w:r>
              <w:rPr>
                <w:rFonts w:hint="eastAsia" w:ascii="仿宋" w:hAnsi="仿宋" w:eastAsia="仿宋" w:cs="仿宋"/>
                <w:color w:val="auto"/>
                <w:spacing w:val="22"/>
                <w:sz w:val="21"/>
                <w:szCs w:val="21"/>
              </w:rPr>
              <w:t>分</w:t>
            </w:r>
            <w:r>
              <w:rPr>
                <w:rFonts w:hint="eastAsia" w:ascii="仿宋" w:hAnsi="仿宋" w:eastAsia="仿宋" w:cs="仿宋"/>
                <w:color w:val="auto"/>
                <w:sz w:val="21"/>
                <w:szCs w:val="21"/>
              </w:rPr>
              <w:t>）</w:t>
            </w:r>
          </w:p>
        </w:tc>
        <w:tc>
          <w:tcPr>
            <w:tcW w:w="988" w:type="dxa"/>
            <w:vMerge w:val="restart"/>
          </w:tcPr>
          <w:p w14:paraId="1AC36926">
            <w:pPr>
              <w:pStyle w:val="12"/>
              <w:spacing w:before="107" w:line="218" w:lineRule="auto"/>
              <w:ind w:left="385" w:right="143" w:hanging="203"/>
              <w:jc w:val="center"/>
              <w:rPr>
                <w:rFonts w:hint="eastAsia" w:ascii="仿宋" w:hAnsi="仿宋" w:eastAsia="仿宋" w:cs="仿宋"/>
                <w:color w:val="auto"/>
                <w:sz w:val="21"/>
                <w:szCs w:val="21"/>
              </w:rPr>
            </w:pPr>
            <w:r>
              <w:rPr>
                <w:rFonts w:hint="eastAsia" w:ascii="仿宋" w:hAnsi="仿宋" w:eastAsia="仿宋" w:cs="仿宋"/>
                <w:color w:val="auto"/>
                <w:w w:val="95"/>
                <w:sz w:val="21"/>
                <w:szCs w:val="21"/>
              </w:rPr>
              <w:t>数量指</w:t>
            </w:r>
            <w:r>
              <w:rPr>
                <w:rFonts w:hint="eastAsia" w:ascii="仿宋" w:hAnsi="仿宋" w:eastAsia="仿宋" w:cs="仿宋"/>
                <w:color w:val="auto"/>
                <w:sz w:val="21"/>
                <w:szCs w:val="21"/>
              </w:rPr>
              <w:t>标</w:t>
            </w:r>
          </w:p>
        </w:tc>
        <w:tc>
          <w:tcPr>
            <w:tcW w:w="1388" w:type="dxa"/>
            <w:gridSpan w:val="2"/>
          </w:tcPr>
          <w:p w14:paraId="15D0CF26">
            <w:pPr>
              <w:pStyle w:val="12"/>
              <w:spacing w:before="107" w:line="218" w:lineRule="auto"/>
              <w:ind w:left="385" w:right="143" w:hanging="203"/>
              <w:jc w:val="center"/>
              <w:rPr>
                <w:rFonts w:hint="eastAsia" w:ascii="仿宋" w:hAnsi="仿宋" w:eastAsia="仿宋" w:cs="仿宋"/>
                <w:color w:val="auto"/>
                <w:w w:val="95"/>
                <w:sz w:val="21"/>
                <w:szCs w:val="21"/>
                <w:lang w:eastAsia="zh-CN"/>
              </w:rPr>
            </w:pPr>
            <w:r>
              <w:rPr>
                <w:rFonts w:hint="eastAsia" w:ascii="仿宋" w:hAnsi="仿宋" w:eastAsia="仿宋" w:cs="仿宋"/>
                <w:color w:val="auto"/>
                <w:w w:val="95"/>
                <w:sz w:val="21"/>
                <w:szCs w:val="21"/>
                <w:lang w:eastAsia="zh-CN"/>
              </w:rPr>
              <w:t>资金使用合规性</w:t>
            </w:r>
          </w:p>
        </w:tc>
        <w:tc>
          <w:tcPr>
            <w:tcW w:w="1273" w:type="dxa"/>
          </w:tcPr>
          <w:p w14:paraId="1C4E80E4">
            <w:pPr>
              <w:pStyle w:val="12"/>
              <w:jc w:val="center"/>
              <w:rPr>
                <w:rFonts w:hint="eastAsia" w:ascii="仿宋" w:hAnsi="仿宋" w:eastAsia="仿宋" w:cs="仿宋"/>
                <w:color w:val="auto"/>
                <w:sz w:val="21"/>
                <w:szCs w:val="21"/>
                <w:lang w:eastAsia="zh-CN"/>
              </w:rPr>
            </w:pPr>
          </w:p>
          <w:p w14:paraId="33211BAE">
            <w:pPr>
              <w:pStyle w:val="12"/>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合规</w:t>
            </w:r>
          </w:p>
        </w:tc>
        <w:tc>
          <w:tcPr>
            <w:tcW w:w="1293" w:type="dxa"/>
          </w:tcPr>
          <w:p w14:paraId="7CAB624C">
            <w:pPr>
              <w:pStyle w:val="12"/>
              <w:jc w:val="center"/>
              <w:rPr>
                <w:rFonts w:hint="eastAsia" w:ascii="仿宋" w:hAnsi="仿宋" w:eastAsia="仿宋" w:cs="仿宋"/>
                <w:color w:val="auto"/>
                <w:sz w:val="21"/>
                <w:szCs w:val="21"/>
                <w:lang w:val="en-US" w:eastAsia="zh-CN"/>
              </w:rPr>
            </w:pPr>
          </w:p>
          <w:p w14:paraId="31610020">
            <w:pPr>
              <w:pStyle w:val="12"/>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100%</w:t>
            </w:r>
          </w:p>
        </w:tc>
        <w:tc>
          <w:tcPr>
            <w:tcW w:w="719" w:type="dxa"/>
          </w:tcPr>
          <w:p w14:paraId="33430DA4">
            <w:pPr>
              <w:pStyle w:val="12"/>
              <w:jc w:val="center"/>
              <w:rPr>
                <w:rFonts w:hint="eastAsia" w:ascii="仿宋" w:hAnsi="仿宋" w:eastAsia="仿宋" w:cs="仿宋"/>
                <w:color w:val="auto"/>
                <w:sz w:val="21"/>
                <w:szCs w:val="21"/>
                <w:lang w:val="en-US" w:eastAsia="zh-CN"/>
              </w:rPr>
            </w:pPr>
          </w:p>
          <w:p w14:paraId="5F676929">
            <w:pPr>
              <w:pStyle w:val="12"/>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8</w:t>
            </w:r>
          </w:p>
        </w:tc>
        <w:tc>
          <w:tcPr>
            <w:tcW w:w="1043" w:type="dxa"/>
          </w:tcPr>
          <w:p w14:paraId="6AC62A23">
            <w:pPr>
              <w:pStyle w:val="12"/>
              <w:jc w:val="center"/>
              <w:rPr>
                <w:rFonts w:hint="eastAsia" w:ascii="仿宋" w:hAnsi="仿宋" w:eastAsia="仿宋" w:cs="仿宋"/>
                <w:color w:val="auto"/>
                <w:sz w:val="21"/>
                <w:szCs w:val="21"/>
                <w:lang w:val="en-US" w:eastAsia="zh-CN"/>
              </w:rPr>
            </w:pPr>
          </w:p>
          <w:p w14:paraId="7E6B1AAF">
            <w:pPr>
              <w:pStyle w:val="12"/>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8</w:t>
            </w:r>
          </w:p>
        </w:tc>
        <w:tc>
          <w:tcPr>
            <w:tcW w:w="1183" w:type="dxa"/>
          </w:tcPr>
          <w:p w14:paraId="6222A785">
            <w:pPr>
              <w:pStyle w:val="12"/>
              <w:jc w:val="center"/>
              <w:rPr>
                <w:rFonts w:hint="eastAsia" w:ascii="仿宋" w:hAnsi="仿宋" w:eastAsia="仿宋" w:cs="仿宋"/>
                <w:color w:val="auto"/>
                <w:sz w:val="21"/>
                <w:szCs w:val="21"/>
                <w:lang w:eastAsia="zh-CN"/>
              </w:rPr>
            </w:pPr>
          </w:p>
        </w:tc>
      </w:tr>
      <w:tr w14:paraId="15ACBD2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5" w:hRule="atLeast"/>
          <w:jc w:val="center"/>
        </w:trPr>
        <w:tc>
          <w:tcPr>
            <w:tcW w:w="965" w:type="dxa"/>
            <w:vMerge w:val="continue"/>
            <w:tcBorders>
              <w:top w:val="nil"/>
            </w:tcBorders>
          </w:tcPr>
          <w:p w14:paraId="087C6F1A">
            <w:pPr>
              <w:jc w:val="center"/>
              <w:rPr>
                <w:rFonts w:hint="eastAsia" w:ascii="仿宋" w:hAnsi="仿宋" w:eastAsia="仿宋" w:cs="仿宋"/>
                <w:color w:val="auto"/>
                <w:sz w:val="24"/>
                <w:szCs w:val="24"/>
              </w:rPr>
            </w:pPr>
          </w:p>
        </w:tc>
        <w:tc>
          <w:tcPr>
            <w:tcW w:w="1026" w:type="dxa"/>
            <w:vMerge w:val="continue"/>
            <w:tcBorders>
              <w:top w:val="nil"/>
            </w:tcBorders>
          </w:tcPr>
          <w:p w14:paraId="0250112A">
            <w:pPr>
              <w:jc w:val="center"/>
              <w:rPr>
                <w:rFonts w:hint="eastAsia" w:ascii="仿宋" w:hAnsi="仿宋" w:eastAsia="仿宋" w:cs="仿宋"/>
                <w:color w:val="auto"/>
                <w:sz w:val="21"/>
                <w:szCs w:val="21"/>
              </w:rPr>
            </w:pPr>
          </w:p>
        </w:tc>
        <w:tc>
          <w:tcPr>
            <w:tcW w:w="988" w:type="dxa"/>
            <w:vMerge w:val="continue"/>
            <w:tcBorders>
              <w:top w:val="nil"/>
            </w:tcBorders>
          </w:tcPr>
          <w:p w14:paraId="41781E6E">
            <w:pPr>
              <w:jc w:val="center"/>
              <w:rPr>
                <w:rFonts w:hint="eastAsia" w:ascii="仿宋" w:hAnsi="仿宋" w:eastAsia="仿宋" w:cs="仿宋"/>
                <w:color w:val="auto"/>
                <w:sz w:val="21"/>
                <w:szCs w:val="21"/>
              </w:rPr>
            </w:pPr>
          </w:p>
        </w:tc>
        <w:tc>
          <w:tcPr>
            <w:tcW w:w="1388" w:type="dxa"/>
            <w:gridSpan w:val="2"/>
            <w:tcBorders>
              <w:top w:val="single" w:color="000000" w:sz="2" w:space="0"/>
            </w:tcBorders>
          </w:tcPr>
          <w:p w14:paraId="3A8083AB">
            <w:pPr>
              <w:pStyle w:val="12"/>
              <w:spacing w:before="107" w:line="218" w:lineRule="auto"/>
              <w:ind w:right="143"/>
              <w:jc w:val="center"/>
              <w:rPr>
                <w:rFonts w:hint="eastAsia" w:ascii="仿宋" w:hAnsi="仿宋" w:eastAsia="仿宋" w:cs="仿宋"/>
                <w:color w:val="auto"/>
                <w:w w:val="95"/>
                <w:sz w:val="21"/>
                <w:szCs w:val="21"/>
                <w:lang w:eastAsia="zh-CN"/>
              </w:rPr>
            </w:pPr>
            <w:r>
              <w:rPr>
                <w:rFonts w:hint="eastAsia" w:ascii="仿宋" w:hAnsi="仿宋" w:eastAsia="仿宋" w:cs="仿宋"/>
                <w:color w:val="auto"/>
                <w:w w:val="95"/>
                <w:sz w:val="21"/>
                <w:szCs w:val="21"/>
                <w:lang w:eastAsia="zh-CN"/>
              </w:rPr>
              <w:t>结转结余率</w:t>
            </w:r>
          </w:p>
        </w:tc>
        <w:tc>
          <w:tcPr>
            <w:tcW w:w="1273" w:type="dxa"/>
            <w:tcBorders>
              <w:top w:val="single" w:color="000000" w:sz="2" w:space="0"/>
            </w:tcBorders>
          </w:tcPr>
          <w:p w14:paraId="3C213635">
            <w:pPr>
              <w:pStyle w:val="12"/>
              <w:jc w:val="center"/>
              <w:rPr>
                <w:rFonts w:hint="eastAsia" w:ascii="仿宋" w:hAnsi="仿宋" w:eastAsia="仿宋" w:cs="仿宋"/>
                <w:color w:val="auto"/>
                <w:sz w:val="21"/>
                <w:szCs w:val="21"/>
              </w:rPr>
            </w:pPr>
          </w:p>
          <w:p w14:paraId="685C7737">
            <w:pPr>
              <w:pStyle w:val="12"/>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rPr>
              <w:t>≤</w:t>
            </w:r>
            <w:r>
              <w:rPr>
                <w:rFonts w:hint="eastAsia" w:ascii="仿宋" w:hAnsi="仿宋" w:eastAsia="仿宋" w:cs="仿宋"/>
                <w:color w:val="auto"/>
                <w:sz w:val="21"/>
                <w:szCs w:val="21"/>
                <w:lang w:val="en-US" w:eastAsia="zh-CN"/>
              </w:rPr>
              <w:t>20%</w:t>
            </w:r>
          </w:p>
        </w:tc>
        <w:tc>
          <w:tcPr>
            <w:tcW w:w="1293" w:type="dxa"/>
            <w:tcBorders>
              <w:top w:val="single" w:color="000000" w:sz="2" w:space="0"/>
            </w:tcBorders>
          </w:tcPr>
          <w:p w14:paraId="1D00CA31">
            <w:pPr>
              <w:pStyle w:val="12"/>
              <w:jc w:val="center"/>
              <w:rPr>
                <w:rFonts w:hint="eastAsia" w:ascii="仿宋" w:hAnsi="仿宋" w:eastAsia="仿宋" w:cs="仿宋"/>
                <w:color w:val="auto"/>
                <w:sz w:val="21"/>
                <w:szCs w:val="21"/>
              </w:rPr>
            </w:pPr>
          </w:p>
          <w:p w14:paraId="041B4149">
            <w:pPr>
              <w:pStyle w:val="12"/>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18%</w:t>
            </w:r>
          </w:p>
        </w:tc>
        <w:tc>
          <w:tcPr>
            <w:tcW w:w="719" w:type="dxa"/>
            <w:tcBorders>
              <w:top w:val="single" w:color="000000" w:sz="2" w:space="0"/>
            </w:tcBorders>
          </w:tcPr>
          <w:p w14:paraId="41470313">
            <w:pPr>
              <w:pStyle w:val="12"/>
              <w:jc w:val="center"/>
              <w:rPr>
                <w:rFonts w:hint="eastAsia" w:ascii="仿宋" w:hAnsi="仿宋" w:eastAsia="仿宋" w:cs="仿宋"/>
                <w:color w:val="auto"/>
                <w:sz w:val="21"/>
                <w:szCs w:val="21"/>
                <w:lang w:val="en-US" w:eastAsia="zh-CN"/>
              </w:rPr>
            </w:pPr>
          </w:p>
          <w:p w14:paraId="5FF708E9">
            <w:pPr>
              <w:pStyle w:val="12"/>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5</w:t>
            </w:r>
          </w:p>
        </w:tc>
        <w:tc>
          <w:tcPr>
            <w:tcW w:w="1043" w:type="dxa"/>
            <w:tcBorders>
              <w:top w:val="single" w:color="000000" w:sz="2" w:space="0"/>
            </w:tcBorders>
          </w:tcPr>
          <w:p w14:paraId="6A835ADD">
            <w:pPr>
              <w:pStyle w:val="12"/>
              <w:jc w:val="center"/>
              <w:rPr>
                <w:rFonts w:hint="eastAsia" w:ascii="仿宋" w:hAnsi="仿宋" w:eastAsia="仿宋" w:cs="仿宋"/>
                <w:color w:val="auto"/>
                <w:sz w:val="21"/>
                <w:szCs w:val="21"/>
                <w:lang w:val="en-US" w:eastAsia="zh-CN"/>
              </w:rPr>
            </w:pPr>
          </w:p>
          <w:p w14:paraId="3D6B03BE">
            <w:pPr>
              <w:pStyle w:val="12"/>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5</w:t>
            </w:r>
          </w:p>
        </w:tc>
        <w:tc>
          <w:tcPr>
            <w:tcW w:w="1183" w:type="dxa"/>
            <w:tcBorders>
              <w:top w:val="single" w:color="000000" w:sz="2" w:space="0"/>
            </w:tcBorders>
          </w:tcPr>
          <w:p w14:paraId="751460FC">
            <w:pPr>
              <w:pStyle w:val="12"/>
              <w:jc w:val="center"/>
              <w:rPr>
                <w:rFonts w:hint="eastAsia" w:ascii="仿宋" w:hAnsi="仿宋" w:eastAsia="仿宋" w:cs="仿宋"/>
                <w:color w:val="auto"/>
                <w:sz w:val="21"/>
                <w:szCs w:val="21"/>
              </w:rPr>
            </w:pPr>
          </w:p>
        </w:tc>
      </w:tr>
      <w:tr w14:paraId="3359E27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71" w:hRule="atLeast"/>
          <w:jc w:val="center"/>
        </w:trPr>
        <w:tc>
          <w:tcPr>
            <w:tcW w:w="965" w:type="dxa"/>
            <w:vMerge w:val="continue"/>
            <w:tcBorders>
              <w:top w:val="nil"/>
            </w:tcBorders>
          </w:tcPr>
          <w:p w14:paraId="0F09DECB">
            <w:pPr>
              <w:jc w:val="center"/>
              <w:rPr>
                <w:rFonts w:hint="eastAsia" w:ascii="仿宋" w:hAnsi="仿宋" w:eastAsia="仿宋" w:cs="仿宋"/>
                <w:color w:val="auto"/>
                <w:sz w:val="24"/>
                <w:szCs w:val="24"/>
              </w:rPr>
            </w:pPr>
          </w:p>
        </w:tc>
        <w:tc>
          <w:tcPr>
            <w:tcW w:w="1026" w:type="dxa"/>
            <w:vMerge w:val="continue"/>
            <w:tcBorders>
              <w:top w:val="nil"/>
            </w:tcBorders>
          </w:tcPr>
          <w:p w14:paraId="5F5EED29">
            <w:pPr>
              <w:jc w:val="center"/>
              <w:rPr>
                <w:rFonts w:hint="eastAsia" w:ascii="仿宋" w:hAnsi="仿宋" w:eastAsia="仿宋" w:cs="仿宋"/>
                <w:color w:val="auto"/>
                <w:sz w:val="21"/>
                <w:szCs w:val="21"/>
              </w:rPr>
            </w:pPr>
          </w:p>
        </w:tc>
        <w:tc>
          <w:tcPr>
            <w:tcW w:w="988" w:type="dxa"/>
          </w:tcPr>
          <w:p w14:paraId="63554ED9">
            <w:pPr>
              <w:pStyle w:val="12"/>
              <w:spacing w:before="116" w:line="213" w:lineRule="auto"/>
              <w:ind w:left="385" w:right="97" w:hanging="207"/>
              <w:jc w:val="center"/>
              <w:rPr>
                <w:rFonts w:hint="eastAsia" w:ascii="仿宋" w:hAnsi="仿宋" w:eastAsia="仿宋" w:cs="仿宋"/>
                <w:color w:val="auto"/>
                <w:sz w:val="21"/>
                <w:szCs w:val="21"/>
              </w:rPr>
            </w:pPr>
            <w:r>
              <w:rPr>
                <w:rFonts w:hint="eastAsia" w:ascii="仿宋" w:hAnsi="仿宋" w:eastAsia="仿宋" w:cs="仿宋"/>
                <w:color w:val="auto"/>
                <w:sz w:val="21"/>
                <w:szCs w:val="21"/>
              </w:rPr>
              <w:t>质量指标</w:t>
            </w:r>
          </w:p>
        </w:tc>
        <w:tc>
          <w:tcPr>
            <w:tcW w:w="1388" w:type="dxa"/>
            <w:gridSpan w:val="2"/>
          </w:tcPr>
          <w:p w14:paraId="2EC171B6">
            <w:pPr>
              <w:pStyle w:val="12"/>
              <w:spacing w:before="107" w:line="218" w:lineRule="auto"/>
              <w:ind w:left="385" w:right="143" w:hanging="203"/>
              <w:jc w:val="center"/>
              <w:rPr>
                <w:rFonts w:hint="eastAsia" w:ascii="仿宋" w:hAnsi="仿宋" w:eastAsia="仿宋" w:cs="仿宋"/>
                <w:color w:val="auto"/>
                <w:w w:val="95"/>
                <w:sz w:val="21"/>
                <w:szCs w:val="21"/>
                <w:lang w:eastAsia="zh-CN"/>
              </w:rPr>
            </w:pPr>
            <w:r>
              <w:rPr>
                <w:rFonts w:hint="eastAsia" w:ascii="仿宋" w:hAnsi="仿宋" w:eastAsia="仿宋" w:cs="仿宋"/>
                <w:color w:val="auto"/>
                <w:w w:val="95"/>
                <w:sz w:val="21"/>
                <w:szCs w:val="21"/>
                <w:lang w:eastAsia="zh-CN"/>
              </w:rPr>
              <w:t>工作任务科学性</w:t>
            </w:r>
          </w:p>
        </w:tc>
        <w:tc>
          <w:tcPr>
            <w:tcW w:w="1273" w:type="dxa"/>
          </w:tcPr>
          <w:p w14:paraId="2AB564D9">
            <w:pPr>
              <w:pStyle w:val="12"/>
              <w:jc w:val="center"/>
              <w:rPr>
                <w:rFonts w:hint="eastAsia" w:ascii="仿宋" w:hAnsi="仿宋" w:eastAsia="仿宋" w:cs="仿宋"/>
                <w:color w:val="auto"/>
                <w:sz w:val="21"/>
                <w:szCs w:val="21"/>
                <w:lang w:eastAsia="zh-CN"/>
              </w:rPr>
            </w:pPr>
          </w:p>
          <w:p w14:paraId="57F22436">
            <w:pPr>
              <w:pStyle w:val="12"/>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合理</w:t>
            </w:r>
          </w:p>
        </w:tc>
        <w:tc>
          <w:tcPr>
            <w:tcW w:w="1293" w:type="dxa"/>
          </w:tcPr>
          <w:p w14:paraId="4B841B6A">
            <w:pPr>
              <w:pStyle w:val="12"/>
              <w:jc w:val="center"/>
              <w:rPr>
                <w:rFonts w:hint="eastAsia" w:ascii="仿宋" w:hAnsi="仿宋" w:eastAsia="仿宋" w:cs="仿宋"/>
                <w:color w:val="auto"/>
                <w:sz w:val="21"/>
                <w:szCs w:val="21"/>
                <w:lang w:val="en-US" w:eastAsia="zh-CN"/>
              </w:rPr>
            </w:pPr>
          </w:p>
          <w:p w14:paraId="6F0E5691">
            <w:pPr>
              <w:pStyle w:val="12"/>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合理</w:t>
            </w:r>
          </w:p>
        </w:tc>
        <w:tc>
          <w:tcPr>
            <w:tcW w:w="719" w:type="dxa"/>
          </w:tcPr>
          <w:p w14:paraId="75C466EF">
            <w:pPr>
              <w:pStyle w:val="12"/>
              <w:jc w:val="center"/>
              <w:rPr>
                <w:rFonts w:hint="eastAsia" w:ascii="仿宋" w:hAnsi="仿宋" w:eastAsia="仿宋" w:cs="仿宋"/>
                <w:color w:val="auto"/>
                <w:sz w:val="21"/>
                <w:szCs w:val="21"/>
                <w:lang w:val="en-US" w:eastAsia="zh-CN"/>
              </w:rPr>
            </w:pPr>
          </w:p>
          <w:p w14:paraId="65E35706">
            <w:pPr>
              <w:pStyle w:val="12"/>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5</w:t>
            </w:r>
          </w:p>
        </w:tc>
        <w:tc>
          <w:tcPr>
            <w:tcW w:w="1043" w:type="dxa"/>
          </w:tcPr>
          <w:p w14:paraId="6AF21CE6">
            <w:pPr>
              <w:pStyle w:val="12"/>
              <w:jc w:val="center"/>
              <w:rPr>
                <w:rFonts w:hint="eastAsia" w:ascii="仿宋" w:hAnsi="仿宋" w:eastAsia="仿宋" w:cs="仿宋"/>
                <w:color w:val="auto"/>
                <w:sz w:val="21"/>
                <w:szCs w:val="21"/>
                <w:lang w:val="en-US" w:eastAsia="zh-CN"/>
              </w:rPr>
            </w:pPr>
          </w:p>
          <w:p w14:paraId="5AE16BBE">
            <w:pPr>
              <w:pStyle w:val="12"/>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5</w:t>
            </w:r>
          </w:p>
        </w:tc>
        <w:tc>
          <w:tcPr>
            <w:tcW w:w="1183" w:type="dxa"/>
          </w:tcPr>
          <w:p w14:paraId="659E6CBA">
            <w:pPr>
              <w:pStyle w:val="12"/>
              <w:jc w:val="center"/>
              <w:rPr>
                <w:rFonts w:hint="eastAsia" w:ascii="仿宋" w:hAnsi="仿宋" w:eastAsia="仿宋" w:cs="仿宋"/>
                <w:color w:val="auto"/>
                <w:sz w:val="21"/>
                <w:szCs w:val="21"/>
              </w:rPr>
            </w:pPr>
          </w:p>
        </w:tc>
      </w:tr>
      <w:tr w14:paraId="732C043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9" w:hRule="atLeast"/>
          <w:jc w:val="center"/>
        </w:trPr>
        <w:tc>
          <w:tcPr>
            <w:tcW w:w="965" w:type="dxa"/>
            <w:vMerge w:val="continue"/>
            <w:tcBorders>
              <w:top w:val="nil"/>
            </w:tcBorders>
          </w:tcPr>
          <w:p w14:paraId="00ED0DA9">
            <w:pPr>
              <w:jc w:val="center"/>
              <w:rPr>
                <w:rFonts w:hint="eastAsia" w:ascii="仿宋" w:hAnsi="仿宋" w:eastAsia="仿宋" w:cs="仿宋"/>
                <w:color w:val="auto"/>
                <w:sz w:val="24"/>
                <w:szCs w:val="24"/>
              </w:rPr>
            </w:pPr>
          </w:p>
        </w:tc>
        <w:tc>
          <w:tcPr>
            <w:tcW w:w="1026" w:type="dxa"/>
            <w:vMerge w:val="continue"/>
            <w:tcBorders>
              <w:top w:val="nil"/>
            </w:tcBorders>
          </w:tcPr>
          <w:p w14:paraId="20550162">
            <w:pPr>
              <w:jc w:val="center"/>
              <w:rPr>
                <w:rFonts w:hint="eastAsia" w:ascii="仿宋" w:hAnsi="仿宋" w:eastAsia="仿宋" w:cs="仿宋"/>
                <w:color w:val="auto"/>
                <w:sz w:val="21"/>
                <w:szCs w:val="21"/>
              </w:rPr>
            </w:pPr>
          </w:p>
        </w:tc>
        <w:tc>
          <w:tcPr>
            <w:tcW w:w="988" w:type="dxa"/>
            <w:vMerge w:val="restart"/>
          </w:tcPr>
          <w:p w14:paraId="59FA2299">
            <w:pPr>
              <w:pStyle w:val="12"/>
              <w:spacing w:before="103" w:line="218" w:lineRule="auto"/>
              <w:ind w:left="381" w:right="97" w:hanging="203"/>
              <w:jc w:val="center"/>
              <w:rPr>
                <w:rFonts w:hint="eastAsia" w:ascii="仿宋" w:hAnsi="仿宋" w:eastAsia="仿宋" w:cs="仿宋"/>
                <w:color w:val="auto"/>
                <w:sz w:val="21"/>
                <w:szCs w:val="21"/>
              </w:rPr>
            </w:pPr>
            <w:r>
              <w:rPr>
                <w:rFonts w:hint="eastAsia" w:ascii="仿宋" w:hAnsi="仿宋" w:eastAsia="仿宋" w:cs="仿宋"/>
                <w:color w:val="auto"/>
                <w:sz w:val="21"/>
                <w:szCs w:val="21"/>
              </w:rPr>
              <w:t>时效指标</w:t>
            </w:r>
          </w:p>
        </w:tc>
        <w:tc>
          <w:tcPr>
            <w:tcW w:w="1388" w:type="dxa"/>
            <w:gridSpan w:val="2"/>
            <w:tcBorders>
              <w:bottom w:val="single" w:color="000000" w:sz="2" w:space="0"/>
            </w:tcBorders>
          </w:tcPr>
          <w:p w14:paraId="46467656">
            <w:pPr>
              <w:pStyle w:val="12"/>
              <w:spacing w:before="107" w:line="218" w:lineRule="auto"/>
              <w:ind w:right="143"/>
              <w:jc w:val="center"/>
              <w:rPr>
                <w:rFonts w:hint="eastAsia" w:ascii="仿宋" w:hAnsi="仿宋" w:eastAsia="仿宋" w:cs="仿宋"/>
                <w:color w:val="auto"/>
                <w:w w:val="95"/>
                <w:sz w:val="21"/>
                <w:szCs w:val="21"/>
                <w:lang w:eastAsia="zh-CN"/>
              </w:rPr>
            </w:pPr>
            <w:r>
              <w:rPr>
                <w:rFonts w:hint="eastAsia" w:ascii="仿宋" w:hAnsi="仿宋" w:eastAsia="仿宋" w:cs="仿宋"/>
                <w:color w:val="auto"/>
                <w:w w:val="95"/>
                <w:sz w:val="21"/>
                <w:szCs w:val="21"/>
                <w:lang w:eastAsia="zh-CN"/>
              </w:rPr>
              <w:t>各项保险按时缴纳率</w:t>
            </w:r>
          </w:p>
        </w:tc>
        <w:tc>
          <w:tcPr>
            <w:tcW w:w="1273" w:type="dxa"/>
            <w:tcBorders>
              <w:bottom w:val="single" w:color="000000" w:sz="2" w:space="0"/>
            </w:tcBorders>
          </w:tcPr>
          <w:p w14:paraId="39E552E2">
            <w:pPr>
              <w:pStyle w:val="12"/>
              <w:jc w:val="center"/>
              <w:rPr>
                <w:rFonts w:hint="eastAsia" w:ascii="仿宋" w:hAnsi="仿宋" w:eastAsia="仿宋" w:cs="仿宋"/>
                <w:color w:val="auto"/>
                <w:sz w:val="21"/>
                <w:szCs w:val="21"/>
                <w:lang w:eastAsia="zh-CN"/>
              </w:rPr>
            </w:pPr>
          </w:p>
          <w:p w14:paraId="5B625948">
            <w:pPr>
              <w:pStyle w:val="12"/>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100%</w:t>
            </w:r>
            <w:r>
              <w:rPr>
                <w:rFonts w:hint="eastAsia" w:ascii="仿宋" w:hAnsi="仿宋" w:eastAsia="仿宋" w:cs="仿宋"/>
                <w:color w:val="auto"/>
                <w:sz w:val="21"/>
                <w:szCs w:val="21"/>
                <w:lang w:eastAsia="zh-CN"/>
              </w:rPr>
              <w:t>按时缴纳</w:t>
            </w:r>
          </w:p>
        </w:tc>
        <w:tc>
          <w:tcPr>
            <w:tcW w:w="1293" w:type="dxa"/>
            <w:tcBorders>
              <w:bottom w:val="single" w:color="000000" w:sz="2" w:space="0"/>
            </w:tcBorders>
          </w:tcPr>
          <w:p w14:paraId="2DA0C727">
            <w:pPr>
              <w:pStyle w:val="12"/>
              <w:jc w:val="center"/>
              <w:rPr>
                <w:rFonts w:hint="eastAsia" w:ascii="仿宋" w:hAnsi="仿宋" w:eastAsia="仿宋" w:cs="仿宋"/>
                <w:color w:val="auto"/>
                <w:sz w:val="21"/>
                <w:szCs w:val="21"/>
                <w:lang w:val="en-US" w:eastAsia="zh-CN"/>
              </w:rPr>
            </w:pPr>
          </w:p>
          <w:p w14:paraId="5FF2FA2B">
            <w:pPr>
              <w:pStyle w:val="12"/>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100%</w:t>
            </w:r>
          </w:p>
        </w:tc>
        <w:tc>
          <w:tcPr>
            <w:tcW w:w="719" w:type="dxa"/>
            <w:tcBorders>
              <w:bottom w:val="single" w:color="000000" w:sz="2" w:space="0"/>
            </w:tcBorders>
          </w:tcPr>
          <w:p w14:paraId="0A7BA506">
            <w:pPr>
              <w:pStyle w:val="12"/>
              <w:jc w:val="center"/>
              <w:rPr>
                <w:rFonts w:hint="eastAsia" w:ascii="仿宋" w:hAnsi="仿宋" w:eastAsia="仿宋" w:cs="仿宋"/>
                <w:color w:val="auto"/>
                <w:sz w:val="21"/>
                <w:szCs w:val="21"/>
                <w:lang w:val="en-US" w:eastAsia="zh-CN"/>
              </w:rPr>
            </w:pPr>
          </w:p>
          <w:p w14:paraId="53AF3E7D">
            <w:pPr>
              <w:pStyle w:val="12"/>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5</w:t>
            </w:r>
          </w:p>
        </w:tc>
        <w:tc>
          <w:tcPr>
            <w:tcW w:w="1043" w:type="dxa"/>
            <w:tcBorders>
              <w:bottom w:val="single" w:color="000000" w:sz="2" w:space="0"/>
            </w:tcBorders>
          </w:tcPr>
          <w:p w14:paraId="552264E1">
            <w:pPr>
              <w:pStyle w:val="12"/>
              <w:jc w:val="center"/>
              <w:rPr>
                <w:rFonts w:hint="eastAsia" w:ascii="仿宋" w:hAnsi="仿宋" w:eastAsia="仿宋" w:cs="仿宋"/>
                <w:color w:val="auto"/>
                <w:sz w:val="21"/>
                <w:szCs w:val="21"/>
                <w:lang w:val="en-US" w:eastAsia="zh-CN"/>
              </w:rPr>
            </w:pPr>
          </w:p>
          <w:p w14:paraId="228E1946">
            <w:pPr>
              <w:pStyle w:val="12"/>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5</w:t>
            </w:r>
          </w:p>
        </w:tc>
        <w:tc>
          <w:tcPr>
            <w:tcW w:w="1183" w:type="dxa"/>
            <w:tcBorders>
              <w:bottom w:val="single" w:color="000000" w:sz="2" w:space="0"/>
            </w:tcBorders>
          </w:tcPr>
          <w:p w14:paraId="56ED5B6D">
            <w:pPr>
              <w:pStyle w:val="12"/>
              <w:jc w:val="center"/>
              <w:rPr>
                <w:rFonts w:hint="eastAsia" w:ascii="仿宋" w:hAnsi="仿宋" w:eastAsia="仿宋" w:cs="仿宋"/>
                <w:color w:val="auto"/>
                <w:sz w:val="21"/>
                <w:szCs w:val="21"/>
              </w:rPr>
            </w:pPr>
          </w:p>
        </w:tc>
      </w:tr>
      <w:tr w14:paraId="3358620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34" w:hRule="atLeast"/>
          <w:jc w:val="center"/>
        </w:trPr>
        <w:tc>
          <w:tcPr>
            <w:tcW w:w="965" w:type="dxa"/>
            <w:vMerge w:val="continue"/>
            <w:tcBorders>
              <w:top w:val="nil"/>
            </w:tcBorders>
          </w:tcPr>
          <w:p w14:paraId="4AD9BDEC">
            <w:pPr>
              <w:jc w:val="center"/>
              <w:rPr>
                <w:rFonts w:hint="eastAsia" w:ascii="仿宋" w:hAnsi="仿宋" w:eastAsia="仿宋" w:cs="仿宋"/>
                <w:color w:val="auto"/>
                <w:sz w:val="24"/>
                <w:szCs w:val="24"/>
              </w:rPr>
            </w:pPr>
          </w:p>
        </w:tc>
        <w:tc>
          <w:tcPr>
            <w:tcW w:w="1026" w:type="dxa"/>
            <w:vMerge w:val="continue"/>
            <w:tcBorders>
              <w:top w:val="nil"/>
            </w:tcBorders>
          </w:tcPr>
          <w:p w14:paraId="6DDBD3D9">
            <w:pPr>
              <w:jc w:val="center"/>
              <w:rPr>
                <w:rFonts w:hint="eastAsia" w:ascii="仿宋" w:hAnsi="仿宋" w:eastAsia="仿宋" w:cs="仿宋"/>
                <w:color w:val="auto"/>
                <w:sz w:val="24"/>
                <w:szCs w:val="24"/>
              </w:rPr>
            </w:pPr>
          </w:p>
        </w:tc>
        <w:tc>
          <w:tcPr>
            <w:tcW w:w="988" w:type="dxa"/>
            <w:vMerge w:val="continue"/>
            <w:tcBorders>
              <w:top w:val="nil"/>
            </w:tcBorders>
          </w:tcPr>
          <w:p w14:paraId="095EBB63">
            <w:pPr>
              <w:jc w:val="center"/>
              <w:rPr>
                <w:rFonts w:hint="eastAsia" w:ascii="仿宋" w:hAnsi="仿宋" w:eastAsia="仿宋" w:cs="仿宋"/>
                <w:color w:val="auto"/>
                <w:kern w:val="2"/>
                <w:sz w:val="24"/>
                <w:szCs w:val="24"/>
                <w:lang w:val="en-US" w:eastAsia="zh-CN" w:bidi="ar-SA"/>
              </w:rPr>
            </w:pPr>
          </w:p>
        </w:tc>
        <w:tc>
          <w:tcPr>
            <w:tcW w:w="1388" w:type="dxa"/>
            <w:gridSpan w:val="2"/>
            <w:tcBorders>
              <w:top w:val="single" w:color="000000" w:sz="2" w:space="0"/>
              <w:bottom w:val="single" w:color="000000" w:sz="2" w:space="0"/>
            </w:tcBorders>
          </w:tcPr>
          <w:p w14:paraId="22FC2FDA">
            <w:pPr>
              <w:pStyle w:val="12"/>
              <w:spacing w:before="107" w:line="218" w:lineRule="auto"/>
              <w:ind w:left="385" w:right="143" w:hanging="203"/>
              <w:jc w:val="center"/>
              <w:rPr>
                <w:rFonts w:hint="eastAsia" w:ascii="仿宋" w:hAnsi="仿宋" w:eastAsia="仿宋" w:cs="仿宋"/>
                <w:color w:val="auto"/>
                <w:w w:val="95"/>
                <w:sz w:val="21"/>
                <w:szCs w:val="21"/>
              </w:rPr>
            </w:pPr>
            <w:r>
              <w:rPr>
                <w:rFonts w:hint="eastAsia" w:ascii="仿宋" w:hAnsi="仿宋" w:eastAsia="仿宋" w:cs="仿宋"/>
                <w:color w:val="auto"/>
                <w:w w:val="95"/>
                <w:sz w:val="21"/>
                <w:szCs w:val="21"/>
                <w:lang w:eastAsia="zh-CN"/>
              </w:rPr>
              <w:t>项目资金按时拨付率</w:t>
            </w:r>
          </w:p>
        </w:tc>
        <w:tc>
          <w:tcPr>
            <w:tcW w:w="1273" w:type="dxa"/>
            <w:tcBorders>
              <w:top w:val="single" w:color="000000" w:sz="2" w:space="0"/>
              <w:bottom w:val="single" w:color="000000" w:sz="2" w:space="0"/>
            </w:tcBorders>
          </w:tcPr>
          <w:p w14:paraId="127D1E7D">
            <w:pPr>
              <w:pStyle w:val="12"/>
              <w:jc w:val="center"/>
              <w:rPr>
                <w:rFonts w:hint="eastAsia" w:ascii="仿宋" w:hAnsi="仿宋" w:eastAsia="仿宋" w:cs="仿宋"/>
                <w:color w:val="auto"/>
                <w:sz w:val="21"/>
                <w:szCs w:val="21"/>
                <w:lang w:eastAsia="zh-CN"/>
              </w:rPr>
            </w:pPr>
          </w:p>
          <w:p w14:paraId="35B938C0">
            <w:pPr>
              <w:pStyle w:val="12"/>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100%</w:t>
            </w:r>
            <w:r>
              <w:rPr>
                <w:rFonts w:hint="eastAsia" w:ascii="仿宋" w:hAnsi="仿宋" w:eastAsia="仿宋" w:cs="仿宋"/>
                <w:color w:val="auto"/>
                <w:sz w:val="21"/>
                <w:szCs w:val="21"/>
                <w:lang w:eastAsia="zh-CN"/>
              </w:rPr>
              <w:t>按时拨付</w:t>
            </w:r>
          </w:p>
        </w:tc>
        <w:tc>
          <w:tcPr>
            <w:tcW w:w="1293" w:type="dxa"/>
            <w:tcBorders>
              <w:top w:val="single" w:color="000000" w:sz="2" w:space="0"/>
              <w:bottom w:val="single" w:color="000000" w:sz="2" w:space="0"/>
            </w:tcBorders>
          </w:tcPr>
          <w:p w14:paraId="3E32F633">
            <w:pPr>
              <w:pStyle w:val="12"/>
              <w:jc w:val="center"/>
              <w:rPr>
                <w:rFonts w:hint="eastAsia" w:ascii="仿宋" w:hAnsi="仿宋" w:eastAsia="仿宋" w:cs="仿宋"/>
                <w:color w:val="auto"/>
                <w:sz w:val="21"/>
                <w:szCs w:val="21"/>
                <w:lang w:val="en-US" w:eastAsia="zh-CN"/>
              </w:rPr>
            </w:pPr>
          </w:p>
          <w:p w14:paraId="10BC2A8C">
            <w:pPr>
              <w:pStyle w:val="12"/>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100%</w:t>
            </w:r>
          </w:p>
        </w:tc>
        <w:tc>
          <w:tcPr>
            <w:tcW w:w="719" w:type="dxa"/>
            <w:tcBorders>
              <w:top w:val="single" w:color="000000" w:sz="2" w:space="0"/>
              <w:bottom w:val="single" w:color="000000" w:sz="2" w:space="0"/>
            </w:tcBorders>
          </w:tcPr>
          <w:p w14:paraId="791EB1EF">
            <w:pPr>
              <w:pStyle w:val="12"/>
              <w:jc w:val="center"/>
              <w:rPr>
                <w:rFonts w:hint="eastAsia" w:ascii="仿宋" w:hAnsi="仿宋" w:eastAsia="仿宋" w:cs="仿宋"/>
                <w:color w:val="auto"/>
                <w:sz w:val="21"/>
                <w:szCs w:val="21"/>
                <w:lang w:val="en-US" w:eastAsia="zh-CN"/>
              </w:rPr>
            </w:pPr>
          </w:p>
          <w:p w14:paraId="772F04DA">
            <w:pPr>
              <w:pStyle w:val="12"/>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5</w:t>
            </w:r>
          </w:p>
        </w:tc>
        <w:tc>
          <w:tcPr>
            <w:tcW w:w="1043" w:type="dxa"/>
            <w:tcBorders>
              <w:top w:val="single" w:color="000000" w:sz="2" w:space="0"/>
              <w:bottom w:val="single" w:color="000000" w:sz="2" w:space="0"/>
            </w:tcBorders>
          </w:tcPr>
          <w:p w14:paraId="37FB4975">
            <w:pPr>
              <w:pStyle w:val="12"/>
              <w:jc w:val="center"/>
              <w:rPr>
                <w:rFonts w:hint="eastAsia" w:ascii="仿宋" w:hAnsi="仿宋" w:eastAsia="仿宋" w:cs="仿宋"/>
                <w:color w:val="auto"/>
                <w:sz w:val="21"/>
                <w:szCs w:val="21"/>
                <w:lang w:val="en-US" w:eastAsia="zh-CN"/>
              </w:rPr>
            </w:pPr>
          </w:p>
          <w:p w14:paraId="3D5A608F">
            <w:pPr>
              <w:pStyle w:val="12"/>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5</w:t>
            </w:r>
          </w:p>
        </w:tc>
        <w:tc>
          <w:tcPr>
            <w:tcW w:w="1183" w:type="dxa"/>
            <w:tcBorders>
              <w:top w:val="single" w:color="000000" w:sz="2" w:space="0"/>
              <w:bottom w:val="single" w:color="000000" w:sz="2" w:space="0"/>
            </w:tcBorders>
          </w:tcPr>
          <w:p w14:paraId="6407897B">
            <w:pPr>
              <w:pStyle w:val="12"/>
              <w:jc w:val="center"/>
              <w:rPr>
                <w:rFonts w:hint="eastAsia" w:ascii="仿宋" w:hAnsi="仿宋" w:eastAsia="仿宋" w:cs="仿宋"/>
                <w:color w:val="auto"/>
                <w:sz w:val="21"/>
                <w:szCs w:val="21"/>
              </w:rPr>
            </w:pPr>
          </w:p>
        </w:tc>
      </w:tr>
      <w:tr w14:paraId="681B4DD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34" w:hRule="atLeast"/>
          <w:jc w:val="center"/>
        </w:trPr>
        <w:tc>
          <w:tcPr>
            <w:tcW w:w="965" w:type="dxa"/>
            <w:vMerge w:val="continue"/>
            <w:tcBorders>
              <w:top w:val="nil"/>
            </w:tcBorders>
          </w:tcPr>
          <w:p w14:paraId="4C09A51B">
            <w:pPr>
              <w:jc w:val="center"/>
              <w:rPr>
                <w:rFonts w:hint="eastAsia" w:ascii="仿宋" w:hAnsi="仿宋" w:eastAsia="仿宋" w:cs="仿宋"/>
                <w:color w:val="auto"/>
                <w:sz w:val="24"/>
                <w:szCs w:val="24"/>
              </w:rPr>
            </w:pPr>
          </w:p>
        </w:tc>
        <w:tc>
          <w:tcPr>
            <w:tcW w:w="1026" w:type="dxa"/>
            <w:vMerge w:val="continue"/>
            <w:tcBorders>
              <w:top w:val="nil"/>
            </w:tcBorders>
          </w:tcPr>
          <w:p w14:paraId="6A0EC081">
            <w:pPr>
              <w:jc w:val="center"/>
              <w:rPr>
                <w:rFonts w:hint="eastAsia" w:ascii="仿宋" w:hAnsi="仿宋" w:eastAsia="仿宋" w:cs="仿宋"/>
                <w:color w:val="auto"/>
                <w:sz w:val="24"/>
                <w:szCs w:val="24"/>
              </w:rPr>
            </w:pPr>
          </w:p>
        </w:tc>
        <w:tc>
          <w:tcPr>
            <w:tcW w:w="988" w:type="dxa"/>
            <w:vMerge w:val="restart"/>
          </w:tcPr>
          <w:p w14:paraId="5E1DCF2F">
            <w:pPr>
              <w:pStyle w:val="12"/>
              <w:spacing w:before="103" w:line="218" w:lineRule="auto"/>
              <w:ind w:left="381" w:right="97" w:hanging="203"/>
              <w:jc w:val="center"/>
              <w:rPr>
                <w:rFonts w:hint="eastAsia" w:ascii="仿宋" w:hAnsi="仿宋" w:eastAsia="仿宋" w:cs="仿宋"/>
                <w:color w:val="auto"/>
                <w:kern w:val="2"/>
                <w:sz w:val="21"/>
                <w:szCs w:val="21"/>
                <w:lang w:val="en-US" w:eastAsia="zh-CN" w:bidi="ar-SA"/>
              </w:rPr>
            </w:pPr>
            <w:r>
              <w:rPr>
                <w:rFonts w:hint="eastAsia" w:ascii="仿宋" w:hAnsi="仿宋" w:eastAsia="仿宋" w:cs="仿宋"/>
                <w:color w:val="auto"/>
                <w:kern w:val="2"/>
                <w:sz w:val="21"/>
                <w:szCs w:val="21"/>
                <w:lang w:val="en-US" w:eastAsia="zh-CN" w:bidi="ar-SA"/>
              </w:rPr>
              <w:t>成本指标</w:t>
            </w:r>
          </w:p>
        </w:tc>
        <w:tc>
          <w:tcPr>
            <w:tcW w:w="1388" w:type="dxa"/>
            <w:gridSpan w:val="2"/>
          </w:tcPr>
          <w:p w14:paraId="3DB12AA9">
            <w:pPr>
              <w:pStyle w:val="12"/>
              <w:spacing w:before="107" w:line="218" w:lineRule="auto"/>
              <w:ind w:left="385" w:right="143" w:hanging="203"/>
              <w:jc w:val="center"/>
              <w:rPr>
                <w:rFonts w:hint="eastAsia" w:ascii="仿宋" w:hAnsi="仿宋" w:eastAsia="仿宋" w:cs="仿宋"/>
                <w:color w:val="auto"/>
                <w:w w:val="95"/>
                <w:sz w:val="21"/>
                <w:szCs w:val="21"/>
                <w:lang w:eastAsia="zh-CN"/>
              </w:rPr>
            </w:pPr>
            <w:r>
              <w:rPr>
                <w:rFonts w:hint="eastAsia" w:ascii="仿宋" w:hAnsi="仿宋" w:eastAsia="仿宋" w:cs="仿宋"/>
                <w:color w:val="auto"/>
                <w:w w:val="95"/>
                <w:sz w:val="21"/>
                <w:szCs w:val="21"/>
                <w:lang w:eastAsia="zh-CN"/>
              </w:rPr>
              <w:t>公用经费控制</w:t>
            </w:r>
          </w:p>
        </w:tc>
        <w:tc>
          <w:tcPr>
            <w:tcW w:w="1273" w:type="dxa"/>
          </w:tcPr>
          <w:p w14:paraId="0361A881">
            <w:pPr>
              <w:pStyle w:val="12"/>
              <w:jc w:val="center"/>
              <w:rPr>
                <w:rFonts w:hint="eastAsia" w:ascii="仿宋" w:hAnsi="仿宋" w:eastAsia="仿宋" w:cs="仿宋"/>
                <w:color w:val="auto"/>
                <w:sz w:val="21"/>
                <w:szCs w:val="21"/>
                <w:lang w:eastAsia="zh-CN"/>
              </w:rPr>
            </w:pPr>
          </w:p>
          <w:p w14:paraId="07F18BB7">
            <w:pPr>
              <w:pStyle w:val="12"/>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合理合规</w:t>
            </w:r>
          </w:p>
        </w:tc>
        <w:tc>
          <w:tcPr>
            <w:tcW w:w="1293" w:type="dxa"/>
          </w:tcPr>
          <w:p w14:paraId="54EFDA06">
            <w:pPr>
              <w:pStyle w:val="12"/>
              <w:jc w:val="center"/>
              <w:rPr>
                <w:rFonts w:hint="eastAsia" w:ascii="仿宋" w:hAnsi="仿宋" w:eastAsia="仿宋" w:cs="仿宋"/>
                <w:color w:val="auto"/>
                <w:sz w:val="21"/>
                <w:szCs w:val="21"/>
                <w:lang w:val="en-US" w:eastAsia="zh-CN"/>
              </w:rPr>
            </w:pPr>
          </w:p>
          <w:p w14:paraId="4EA428FC">
            <w:pPr>
              <w:pStyle w:val="12"/>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合理合规</w:t>
            </w:r>
          </w:p>
        </w:tc>
        <w:tc>
          <w:tcPr>
            <w:tcW w:w="719" w:type="dxa"/>
          </w:tcPr>
          <w:p w14:paraId="1BD6C2C9">
            <w:pPr>
              <w:pStyle w:val="12"/>
              <w:jc w:val="center"/>
              <w:rPr>
                <w:rFonts w:hint="eastAsia" w:ascii="仿宋" w:hAnsi="仿宋" w:eastAsia="仿宋" w:cs="仿宋"/>
                <w:color w:val="auto"/>
                <w:sz w:val="21"/>
                <w:szCs w:val="21"/>
                <w:lang w:val="en-US" w:eastAsia="zh-CN"/>
              </w:rPr>
            </w:pPr>
          </w:p>
          <w:p w14:paraId="53C43278">
            <w:pPr>
              <w:pStyle w:val="12"/>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5</w:t>
            </w:r>
          </w:p>
        </w:tc>
        <w:tc>
          <w:tcPr>
            <w:tcW w:w="1043" w:type="dxa"/>
          </w:tcPr>
          <w:p w14:paraId="112BD5FA">
            <w:pPr>
              <w:pStyle w:val="12"/>
              <w:jc w:val="center"/>
              <w:rPr>
                <w:rFonts w:hint="eastAsia" w:ascii="仿宋" w:hAnsi="仿宋" w:eastAsia="仿宋" w:cs="仿宋"/>
                <w:color w:val="auto"/>
                <w:sz w:val="21"/>
                <w:szCs w:val="21"/>
                <w:lang w:val="en-US" w:eastAsia="zh-CN"/>
              </w:rPr>
            </w:pPr>
          </w:p>
          <w:p w14:paraId="589FD264">
            <w:pPr>
              <w:pStyle w:val="12"/>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5</w:t>
            </w:r>
          </w:p>
        </w:tc>
        <w:tc>
          <w:tcPr>
            <w:tcW w:w="1183" w:type="dxa"/>
          </w:tcPr>
          <w:p w14:paraId="4FEF9C5A">
            <w:pPr>
              <w:pStyle w:val="12"/>
              <w:jc w:val="center"/>
              <w:rPr>
                <w:rFonts w:hint="eastAsia" w:ascii="仿宋" w:hAnsi="仿宋" w:eastAsia="仿宋" w:cs="仿宋"/>
                <w:color w:val="auto"/>
                <w:sz w:val="21"/>
                <w:szCs w:val="21"/>
              </w:rPr>
            </w:pPr>
          </w:p>
        </w:tc>
      </w:tr>
      <w:tr w14:paraId="69963E7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10" w:hRule="atLeast"/>
          <w:jc w:val="center"/>
        </w:trPr>
        <w:tc>
          <w:tcPr>
            <w:tcW w:w="965" w:type="dxa"/>
            <w:vMerge w:val="continue"/>
            <w:tcBorders>
              <w:top w:val="nil"/>
            </w:tcBorders>
          </w:tcPr>
          <w:p w14:paraId="140D577A">
            <w:pPr>
              <w:jc w:val="center"/>
              <w:rPr>
                <w:rFonts w:hint="eastAsia" w:ascii="仿宋" w:hAnsi="仿宋" w:eastAsia="仿宋" w:cs="仿宋"/>
                <w:color w:val="auto"/>
                <w:sz w:val="24"/>
                <w:szCs w:val="24"/>
              </w:rPr>
            </w:pPr>
          </w:p>
        </w:tc>
        <w:tc>
          <w:tcPr>
            <w:tcW w:w="1026" w:type="dxa"/>
            <w:vMerge w:val="continue"/>
            <w:tcBorders>
              <w:top w:val="nil"/>
            </w:tcBorders>
          </w:tcPr>
          <w:p w14:paraId="6012331E">
            <w:pPr>
              <w:jc w:val="center"/>
              <w:rPr>
                <w:rFonts w:hint="eastAsia" w:ascii="仿宋" w:hAnsi="仿宋" w:eastAsia="仿宋" w:cs="仿宋"/>
                <w:color w:val="auto"/>
                <w:sz w:val="24"/>
                <w:szCs w:val="24"/>
              </w:rPr>
            </w:pPr>
          </w:p>
        </w:tc>
        <w:tc>
          <w:tcPr>
            <w:tcW w:w="988" w:type="dxa"/>
            <w:vMerge w:val="continue"/>
            <w:tcBorders>
              <w:top w:val="nil"/>
            </w:tcBorders>
          </w:tcPr>
          <w:p w14:paraId="4B4FAF89">
            <w:pPr>
              <w:jc w:val="center"/>
              <w:rPr>
                <w:rFonts w:hint="eastAsia" w:ascii="仿宋" w:hAnsi="仿宋" w:eastAsia="仿宋" w:cs="仿宋"/>
                <w:color w:val="auto"/>
                <w:kern w:val="2"/>
                <w:sz w:val="21"/>
                <w:szCs w:val="21"/>
                <w:lang w:val="en-US" w:eastAsia="zh-CN" w:bidi="ar-SA"/>
              </w:rPr>
            </w:pPr>
          </w:p>
        </w:tc>
        <w:tc>
          <w:tcPr>
            <w:tcW w:w="1388" w:type="dxa"/>
            <w:gridSpan w:val="2"/>
            <w:tcBorders>
              <w:bottom w:val="single" w:color="000000" w:sz="2" w:space="0"/>
            </w:tcBorders>
          </w:tcPr>
          <w:p w14:paraId="685F90E9">
            <w:pPr>
              <w:pStyle w:val="12"/>
              <w:spacing w:before="107" w:line="218" w:lineRule="auto"/>
              <w:ind w:left="385" w:right="143" w:hanging="203"/>
              <w:jc w:val="center"/>
              <w:rPr>
                <w:rFonts w:hint="eastAsia" w:ascii="仿宋" w:hAnsi="仿宋" w:eastAsia="仿宋" w:cs="仿宋"/>
                <w:color w:val="auto"/>
                <w:w w:val="95"/>
                <w:sz w:val="21"/>
                <w:szCs w:val="21"/>
              </w:rPr>
            </w:pPr>
            <w:r>
              <w:rPr>
                <w:rFonts w:hint="eastAsia" w:ascii="仿宋" w:hAnsi="仿宋" w:eastAsia="仿宋" w:cs="仿宋"/>
                <w:color w:val="auto"/>
                <w:w w:val="95"/>
                <w:sz w:val="21"/>
                <w:szCs w:val="21"/>
                <w:lang w:eastAsia="zh-CN"/>
              </w:rPr>
              <w:t>项目支出成本控制</w:t>
            </w:r>
          </w:p>
        </w:tc>
        <w:tc>
          <w:tcPr>
            <w:tcW w:w="1273" w:type="dxa"/>
            <w:tcBorders>
              <w:bottom w:val="single" w:color="000000" w:sz="2" w:space="0"/>
            </w:tcBorders>
          </w:tcPr>
          <w:p w14:paraId="5E7E755B">
            <w:pPr>
              <w:pStyle w:val="12"/>
              <w:jc w:val="center"/>
              <w:rPr>
                <w:rFonts w:hint="eastAsia" w:ascii="仿宋" w:hAnsi="仿宋" w:eastAsia="仿宋" w:cs="仿宋"/>
                <w:color w:val="auto"/>
                <w:sz w:val="21"/>
                <w:szCs w:val="21"/>
                <w:lang w:eastAsia="zh-CN"/>
              </w:rPr>
            </w:pPr>
          </w:p>
          <w:p w14:paraId="0381B378">
            <w:pPr>
              <w:pStyle w:val="12"/>
              <w:jc w:val="both"/>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eastAsia="zh-CN"/>
              </w:rPr>
              <w:t>控制在</w:t>
            </w:r>
            <w:r>
              <w:rPr>
                <w:rFonts w:hint="eastAsia" w:ascii="仿宋" w:hAnsi="仿宋" w:eastAsia="仿宋" w:cs="仿宋"/>
                <w:color w:val="auto"/>
                <w:sz w:val="21"/>
                <w:szCs w:val="21"/>
                <w:lang w:val="en-US" w:eastAsia="zh-CN"/>
              </w:rPr>
              <w:t>95%-100%</w:t>
            </w:r>
          </w:p>
        </w:tc>
        <w:tc>
          <w:tcPr>
            <w:tcW w:w="1293" w:type="dxa"/>
            <w:tcBorders>
              <w:bottom w:val="single" w:color="000000" w:sz="2" w:space="0"/>
            </w:tcBorders>
          </w:tcPr>
          <w:p w14:paraId="09B30B8D">
            <w:pPr>
              <w:pStyle w:val="12"/>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100%</w:t>
            </w:r>
          </w:p>
        </w:tc>
        <w:tc>
          <w:tcPr>
            <w:tcW w:w="719" w:type="dxa"/>
          </w:tcPr>
          <w:p w14:paraId="765CF915">
            <w:pPr>
              <w:pStyle w:val="12"/>
              <w:jc w:val="center"/>
              <w:rPr>
                <w:rFonts w:hint="eastAsia" w:ascii="仿宋" w:hAnsi="仿宋" w:eastAsia="仿宋" w:cs="仿宋"/>
                <w:color w:val="auto"/>
                <w:sz w:val="21"/>
                <w:szCs w:val="21"/>
                <w:lang w:val="en-US" w:eastAsia="zh-CN"/>
              </w:rPr>
            </w:pPr>
          </w:p>
          <w:p w14:paraId="1CAA3EE9">
            <w:pPr>
              <w:pStyle w:val="12"/>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5</w:t>
            </w:r>
          </w:p>
        </w:tc>
        <w:tc>
          <w:tcPr>
            <w:tcW w:w="1043" w:type="dxa"/>
            <w:tcBorders>
              <w:bottom w:val="single" w:color="000000" w:sz="2" w:space="0"/>
            </w:tcBorders>
          </w:tcPr>
          <w:p w14:paraId="14C34056">
            <w:pPr>
              <w:pStyle w:val="12"/>
              <w:jc w:val="center"/>
              <w:rPr>
                <w:rFonts w:hint="eastAsia" w:ascii="仿宋" w:hAnsi="仿宋" w:eastAsia="仿宋" w:cs="仿宋"/>
                <w:color w:val="auto"/>
                <w:sz w:val="21"/>
                <w:szCs w:val="21"/>
                <w:lang w:val="en-US" w:eastAsia="zh-CN"/>
              </w:rPr>
            </w:pPr>
          </w:p>
          <w:p w14:paraId="16415B12">
            <w:pPr>
              <w:pStyle w:val="12"/>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5</w:t>
            </w:r>
          </w:p>
        </w:tc>
        <w:tc>
          <w:tcPr>
            <w:tcW w:w="1183" w:type="dxa"/>
            <w:tcBorders>
              <w:bottom w:val="single" w:color="000000" w:sz="2" w:space="0"/>
            </w:tcBorders>
          </w:tcPr>
          <w:p w14:paraId="20D82A80">
            <w:pPr>
              <w:pStyle w:val="12"/>
              <w:jc w:val="center"/>
              <w:rPr>
                <w:rFonts w:hint="eastAsia" w:ascii="仿宋" w:hAnsi="仿宋" w:eastAsia="仿宋" w:cs="仿宋"/>
                <w:color w:val="auto"/>
                <w:sz w:val="21"/>
                <w:szCs w:val="21"/>
              </w:rPr>
            </w:pPr>
          </w:p>
        </w:tc>
      </w:tr>
      <w:tr w14:paraId="0EC22F0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34" w:hRule="atLeast"/>
          <w:jc w:val="center"/>
        </w:trPr>
        <w:tc>
          <w:tcPr>
            <w:tcW w:w="965" w:type="dxa"/>
            <w:vMerge w:val="continue"/>
            <w:tcBorders>
              <w:top w:val="nil"/>
            </w:tcBorders>
          </w:tcPr>
          <w:p w14:paraId="1E0B34D6">
            <w:pPr>
              <w:jc w:val="center"/>
              <w:rPr>
                <w:rFonts w:hint="eastAsia" w:ascii="仿宋" w:hAnsi="仿宋" w:eastAsia="仿宋" w:cs="仿宋"/>
                <w:color w:val="auto"/>
                <w:sz w:val="24"/>
                <w:szCs w:val="24"/>
              </w:rPr>
            </w:pPr>
          </w:p>
        </w:tc>
        <w:tc>
          <w:tcPr>
            <w:tcW w:w="1026" w:type="dxa"/>
            <w:vMerge w:val="restart"/>
          </w:tcPr>
          <w:p w14:paraId="48D9288D">
            <w:pPr>
              <w:pStyle w:val="12"/>
              <w:jc w:val="center"/>
              <w:rPr>
                <w:rFonts w:hint="eastAsia" w:ascii="仿宋" w:hAnsi="仿宋" w:eastAsia="仿宋" w:cs="仿宋"/>
                <w:color w:val="auto"/>
                <w:sz w:val="24"/>
                <w:szCs w:val="24"/>
              </w:rPr>
            </w:pPr>
          </w:p>
          <w:p w14:paraId="053B7547">
            <w:pPr>
              <w:pStyle w:val="12"/>
              <w:jc w:val="center"/>
              <w:rPr>
                <w:rFonts w:hint="eastAsia" w:ascii="仿宋" w:hAnsi="仿宋" w:eastAsia="仿宋" w:cs="仿宋"/>
                <w:color w:val="auto"/>
                <w:sz w:val="24"/>
                <w:szCs w:val="24"/>
              </w:rPr>
            </w:pPr>
          </w:p>
          <w:p w14:paraId="5543C024">
            <w:pPr>
              <w:pStyle w:val="12"/>
              <w:jc w:val="center"/>
              <w:rPr>
                <w:rFonts w:hint="eastAsia" w:ascii="仿宋" w:hAnsi="仿宋" w:eastAsia="仿宋" w:cs="仿宋"/>
                <w:color w:val="auto"/>
                <w:sz w:val="24"/>
                <w:szCs w:val="24"/>
              </w:rPr>
            </w:pPr>
          </w:p>
          <w:p w14:paraId="1B8CDB6E">
            <w:pPr>
              <w:pStyle w:val="12"/>
              <w:jc w:val="center"/>
              <w:rPr>
                <w:rFonts w:hint="eastAsia" w:ascii="仿宋" w:hAnsi="仿宋" w:eastAsia="仿宋" w:cs="仿宋"/>
                <w:color w:val="auto"/>
                <w:sz w:val="24"/>
                <w:szCs w:val="24"/>
              </w:rPr>
            </w:pPr>
          </w:p>
          <w:p w14:paraId="223DFCFF">
            <w:pPr>
              <w:pStyle w:val="12"/>
              <w:jc w:val="center"/>
              <w:rPr>
                <w:rFonts w:hint="eastAsia" w:ascii="仿宋" w:hAnsi="仿宋" w:eastAsia="仿宋" w:cs="仿宋"/>
                <w:color w:val="auto"/>
                <w:sz w:val="24"/>
                <w:szCs w:val="24"/>
              </w:rPr>
            </w:pPr>
          </w:p>
          <w:p w14:paraId="21B91222">
            <w:pPr>
              <w:pStyle w:val="12"/>
              <w:spacing w:before="5"/>
              <w:jc w:val="center"/>
              <w:rPr>
                <w:rFonts w:hint="eastAsia" w:ascii="仿宋" w:hAnsi="仿宋" w:eastAsia="仿宋" w:cs="仿宋"/>
                <w:color w:val="auto"/>
                <w:sz w:val="24"/>
                <w:szCs w:val="24"/>
              </w:rPr>
            </w:pPr>
          </w:p>
          <w:p w14:paraId="37D9701F">
            <w:pPr>
              <w:pStyle w:val="12"/>
              <w:spacing w:before="1"/>
              <w:ind w:left="116"/>
              <w:jc w:val="center"/>
              <w:rPr>
                <w:rFonts w:hint="eastAsia" w:ascii="仿宋" w:hAnsi="仿宋" w:eastAsia="仿宋" w:cs="仿宋"/>
                <w:color w:val="auto"/>
                <w:sz w:val="24"/>
                <w:szCs w:val="24"/>
              </w:rPr>
            </w:pPr>
            <w:r>
              <w:rPr>
                <w:rFonts w:hint="eastAsia" w:ascii="仿宋" w:hAnsi="仿宋" w:eastAsia="仿宋" w:cs="仿宋"/>
                <w:color w:val="auto"/>
                <w:w w:val="95"/>
                <w:sz w:val="24"/>
                <w:szCs w:val="24"/>
              </w:rPr>
              <w:t>效益指标</w:t>
            </w:r>
          </w:p>
          <w:p w14:paraId="5F5BD58C">
            <w:pPr>
              <w:pStyle w:val="12"/>
              <w:spacing w:before="9"/>
              <w:jc w:val="center"/>
              <w:rPr>
                <w:rFonts w:hint="eastAsia" w:ascii="仿宋" w:hAnsi="仿宋" w:eastAsia="仿宋" w:cs="仿宋"/>
                <w:color w:val="auto"/>
                <w:sz w:val="24"/>
                <w:szCs w:val="24"/>
              </w:rPr>
            </w:pPr>
          </w:p>
          <w:p w14:paraId="3975B288">
            <w:pPr>
              <w:pStyle w:val="12"/>
              <w:ind w:left="209"/>
              <w:jc w:val="center"/>
              <w:rPr>
                <w:rFonts w:hint="eastAsia" w:ascii="仿宋" w:hAnsi="仿宋" w:eastAsia="仿宋" w:cs="仿宋"/>
                <w:color w:val="auto"/>
                <w:sz w:val="24"/>
                <w:szCs w:val="24"/>
              </w:rPr>
            </w:pPr>
            <w:r>
              <w:rPr>
                <w:rFonts w:hint="eastAsia" w:ascii="仿宋" w:hAnsi="仿宋" w:eastAsia="仿宋" w:cs="仿宋"/>
                <w:color w:val="auto"/>
                <w:spacing w:val="-16"/>
                <w:w w:val="105"/>
                <w:sz w:val="24"/>
                <w:szCs w:val="24"/>
              </w:rPr>
              <w:t xml:space="preserve">( </w:t>
            </w:r>
            <w:r>
              <w:rPr>
                <w:rFonts w:hint="eastAsia" w:ascii="仿宋" w:hAnsi="仿宋" w:eastAsia="仿宋" w:cs="仿宋"/>
                <w:color w:val="auto"/>
                <w:w w:val="105"/>
                <w:sz w:val="24"/>
                <w:szCs w:val="24"/>
              </w:rPr>
              <w:t>40</w:t>
            </w:r>
            <w:r>
              <w:rPr>
                <w:rFonts w:hint="eastAsia" w:ascii="仿宋" w:hAnsi="仿宋" w:eastAsia="仿宋" w:cs="仿宋"/>
                <w:color w:val="auto"/>
                <w:spacing w:val="-35"/>
                <w:w w:val="105"/>
                <w:sz w:val="24"/>
                <w:szCs w:val="24"/>
              </w:rPr>
              <w:t xml:space="preserve"> </w:t>
            </w:r>
            <w:r>
              <w:rPr>
                <w:rFonts w:hint="eastAsia" w:ascii="仿宋" w:hAnsi="仿宋" w:eastAsia="仿宋" w:cs="仿宋"/>
                <w:color w:val="auto"/>
                <w:spacing w:val="22"/>
                <w:w w:val="105"/>
                <w:sz w:val="24"/>
                <w:szCs w:val="24"/>
              </w:rPr>
              <w:t>分</w:t>
            </w:r>
            <w:r>
              <w:rPr>
                <w:rFonts w:hint="eastAsia" w:ascii="仿宋" w:hAnsi="仿宋" w:eastAsia="仿宋" w:cs="仿宋"/>
                <w:color w:val="auto"/>
                <w:w w:val="105"/>
                <w:sz w:val="24"/>
                <w:szCs w:val="24"/>
              </w:rPr>
              <w:t>）</w:t>
            </w:r>
          </w:p>
        </w:tc>
        <w:tc>
          <w:tcPr>
            <w:tcW w:w="988" w:type="dxa"/>
            <w:vMerge w:val="restart"/>
          </w:tcPr>
          <w:p w14:paraId="5BACD49C">
            <w:pPr>
              <w:pStyle w:val="12"/>
              <w:spacing w:before="103" w:line="218" w:lineRule="auto"/>
              <w:ind w:left="381" w:right="97" w:hanging="203"/>
              <w:jc w:val="center"/>
              <w:rPr>
                <w:rFonts w:hint="eastAsia" w:ascii="仿宋" w:hAnsi="仿宋" w:eastAsia="仿宋" w:cs="仿宋"/>
                <w:color w:val="auto"/>
                <w:kern w:val="2"/>
                <w:sz w:val="21"/>
                <w:szCs w:val="21"/>
                <w:lang w:val="en-US" w:eastAsia="zh-CN" w:bidi="ar-SA"/>
              </w:rPr>
            </w:pPr>
            <w:r>
              <w:rPr>
                <w:rFonts w:hint="eastAsia" w:ascii="仿宋" w:hAnsi="仿宋" w:eastAsia="仿宋" w:cs="仿宋"/>
                <w:color w:val="auto"/>
                <w:kern w:val="2"/>
                <w:sz w:val="21"/>
                <w:szCs w:val="21"/>
                <w:lang w:val="en-US" w:eastAsia="zh-CN" w:bidi="ar-SA"/>
              </w:rPr>
              <w:t>经济效益指标</w:t>
            </w:r>
          </w:p>
        </w:tc>
        <w:tc>
          <w:tcPr>
            <w:tcW w:w="1388" w:type="dxa"/>
            <w:gridSpan w:val="2"/>
          </w:tcPr>
          <w:p w14:paraId="1D560C50">
            <w:pPr>
              <w:pStyle w:val="12"/>
              <w:spacing w:before="107" w:line="218" w:lineRule="auto"/>
              <w:ind w:left="385" w:right="143" w:hanging="203"/>
              <w:jc w:val="center"/>
              <w:rPr>
                <w:rFonts w:hint="eastAsia" w:ascii="仿宋" w:hAnsi="仿宋" w:eastAsia="仿宋" w:cs="仿宋"/>
                <w:color w:val="auto"/>
                <w:w w:val="95"/>
                <w:sz w:val="21"/>
                <w:szCs w:val="21"/>
                <w:lang w:val="en-US" w:eastAsia="zh-CN"/>
              </w:rPr>
            </w:pPr>
            <w:r>
              <w:rPr>
                <w:rFonts w:hint="eastAsia" w:ascii="仿宋" w:hAnsi="仿宋" w:eastAsia="仿宋" w:cs="仿宋"/>
                <w:color w:val="auto"/>
                <w:w w:val="95"/>
                <w:sz w:val="21"/>
                <w:szCs w:val="21"/>
                <w:lang w:eastAsia="zh-CN"/>
              </w:rPr>
              <w:t>单位用车管理水水平提高</w:t>
            </w:r>
          </w:p>
        </w:tc>
        <w:tc>
          <w:tcPr>
            <w:tcW w:w="1273" w:type="dxa"/>
          </w:tcPr>
          <w:p w14:paraId="0FE59B7E">
            <w:pPr>
              <w:pStyle w:val="12"/>
              <w:ind w:firstLine="420" w:firstLineChars="200"/>
              <w:jc w:val="both"/>
              <w:rPr>
                <w:rFonts w:hint="eastAsia" w:ascii="仿宋" w:hAnsi="仿宋" w:eastAsia="仿宋" w:cs="仿宋"/>
                <w:color w:val="auto"/>
                <w:sz w:val="21"/>
                <w:szCs w:val="21"/>
                <w:lang w:val="en-US" w:eastAsia="zh-CN"/>
              </w:rPr>
            </w:pPr>
          </w:p>
          <w:p w14:paraId="7FAD796A">
            <w:pPr>
              <w:pStyle w:val="12"/>
              <w:ind w:firstLine="420" w:firstLineChars="200"/>
              <w:jc w:val="both"/>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10%</w:t>
            </w:r>
          </w:p>
        </w:tc>
        <w:tc>
          <w:tcPr>
            <w:tcW w:w="1293" w:type="dxa"/>
          </w:tcPr>
          <w:p w14:paraId="2A236B14">
            <w:pPr>
              <w:pStyle w:val="12"/>
              <w:ind w:firstLine="630" w:firstLineChars="300"/>
              <w:jc w:val="both"/>
              <w:rPr>
                <w:rFonts w:hint="eastAsia" w:ascii="仿宋" w:hAnsi="仿宋" w:eastAsia="仿宋" w:cs="仿宋"/>
                <w:color w:val="auto"/>
                <w:sz w:val="21"/>
                <w:szCs w:val="21"/>
                <w:lang w:val="en-US" w:eastAsia="zh-CN"/>
              </w:rPr>
            </w:pPr>
          </w:p>
          <w:p w14:paraId="21ACACDD">
            <w:pPr>
              <w:pStyle w:val="12"/>
              <w:ind w:firstLine="630" w:firstLineChars="300"/>
              <w:jc w:val="both"/>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15%</w:t>
            </w:r>
          </w:p>
        </w:tc>
        <w:tc>
          <w:tcPr>
            <w:tcW w:w="719" w:type="dxa"/>
          </w:tcPr>
          <w:p w14:paraId="0A8B62B4">
            <w:pPr>
              <w:pStyle w:val="12"/>
              <w:jc w:val="center"/>
              <w:rPr>
                <w:rFonts w:hint="eastAsia" w:ascii="仿宋" w:hAnsi="仿宋" w:eastAsia="仿宋" w:cs="仿宋"/>
                <w:color w:val="auto"/>
                <w:sz w:val="21"/>
                <w:szCs w:val="21"/>
                <w:lang w:val="en-US" w:eastAsia="zh-CN"/>
              </w:rPr>
            </w:pPr>
          </w:p>
          <w:p w14:paraId="19A85BF2">
            <w:pPr>
              <w:pStyle w:val="12"/>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6</w:t>
            </w:r>
          </w:p>
        </w:tc>
        <w:tc>
          <w:tcPr>
            <w:tcW w:w="1043" w:type="dxa"/>
          </w:tcPr>
          <w:p w14:paraId="6A84352D">
            <w:pPr>
              <w:pStyle w:val="12"/>
              <w:jc w:val="center"/>
              <w:rPr>
                <w:rFonts w:hint="eastAsia" w:ascii="仿宋" w:hAnsi="仿宋" w:eastAsia="仿宋" w:cs="仿宋"/>
                <w:color w:val="auto"/>
                <w:sz w:val="21"/>
                <w:szCs w:val="21"/>
                <w:lang w:val="en-US" w:eastAsia="zh-CN"/>
              </w:rPr>
            </w:pPr>
          </w:p>
          <w:p w14:paraId="4640CFC3">
            <w:pPr>
              <w:pStyle w:val="12"/>
              <w:jc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6</w:t>
            </w:r>
          </w:p>
        </w:tc>
        <w:tc>
          <w:tcPr>
            <w:tcW w:w="1183" w:type="dxa"/>
          </w:tcPr>
          <w:p w14:paraId="477B51DD">
            <w:pPr>
              <w:pStyle w:val="12"/>
              <w:jc w:val="center"/>
              <w:rPr>
                <w:rFonts w:hint="eastAsia" w:ascii="仿宋" w:hAnsi="仿宋" w:eastAsia="仿宋" w:cs="仿宋"/>
                <w:color w:val="auto"/>
                <w:sz w:val="21"/>
                <w:szCs w:val="21"/>
                <w:lang w:eastAsia="zh-CN"/>
              </w:rPr>
            </w:pPr>
          </w:p>
        </w:tc>
      </w:tr>
      <w:tr w14:paraId="5BFFC2E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005" w:hRule="atLeast"/>
          <w:jc w:val="center"/>
        </w:trPr>
        <w:tc>
          <w:tcPr>
            <w:tcW w:w="965" w:type="dxa"/>
            <w:vMerge w:val="continue"/>
            <w:tcBorders>
              <w:top w:val="nil"/>
            </w:tcBorders>
          </w:tcPr>
          <w:p w14:paraId="618D5E97">
            <w:pPr>
              <w:jc w:val="center"/>
              <w:rPr>
                <w:rFonts w:hint="eastAsia" w:ascii="仿宋" w:hAnsi="仿宋" w:eastAsia="仿宋" w:cs="仿宋"/>
                <w:color w:val="auto"/>
                <w:sz w:val="24"/>
                <w:szCs w:val="24"/>
              </w:rPr>
            </w:pPr>
          </w:p>
        </w:tc>
        <w:tc>
          <w:tcPr>
            <w:tcW w:w="1026" w:type="dxa"/>
            <w:vMerge w:val="continue"/>
            <w:tcBorders>
              <w:top w:val="nil"/>
            </w:tcBorders>
          </w:tcPr>
          <w:p w14:paraId="54E2166D">
            <w:pPr>
              <w:jc w:val="center"/>
              <w:rPr>
                <w:rFonts w:hint="eastAsia" w:ascii="仿宋" w:hAnsi="仿宋" w:eastAsia="仿宋" w:cs="仿宋"/>
                <w:color w:val="auto"/>
                <w:sz w:val="24"/>
                <w:szCs w:val="24"/>
              </w:rPr>
            </w:pPr>
          </w:p>
        </w:tc>
        <w:tc>
          <w:tcPr>
            <w:tcW w:w="988" w:type="dxa"/>
            <w:vMerge w:val="continue"/>
            <w:tcBorders>
              <w:top w:val="nil"/>
            </w:tcBorders>
          </w:tcPr>
          <w:p w14:paraId="35628251">
            <w:pPr>
              <w:jc w:val="center"/>
              <w:rPr>
                <w:rFonts w:hint="eastAsia" w:ascii="仿宋" w:hAnsi="仿宋" w:eastAsia="仿宋" w:cs="仿宋"/>
                <w:color w:val="auto"/>
                <w:kern w:val="2"/>
                <w:sz w:val="24"/>
                <w:szCs w:val="24"/>
                <w:lang w:val="en-US" w:eastAsia="zh-CN" w:bidi="ar-SA"/>
              </w:rPr>
            </w:pPr>
          </w:p>
        </w:tc>
        <w:tc>
          <w:tcPr>
            <w:tcW w:w="1388" w:type="dxa"/>
            <w:gridSpan w:val="2"/>
            <w:tcBorders>
              <w:bottom w:val="single" w:color="000000" w:sz="2" w:space="0"/>
            </w:tcBorders>
          </w:tcPr>
          <w:p w14:paraId="59A0DC1E">
            <w:pPr>
              <w:pStyle w:val="12"/>
              <w:spacing w:before="107" w:line="218" w:lineRule="auto"/>
              <w:ind w:right="143"/>
              <w:jc w:val="center"/>
              <w:rPr>
                <w:rFonts w:hint="eastAsia" w:ascii="仿宋" w:hAnsi="仿宋" w:eastAsia="仿宋" w:cs="仿宋"/>
                <w:color w:val="auto"/>
                <w:w w:val="95"/>
                <w:sz w:val="24"/>
                <w:szCs w:val="24"/>
                <w:lang w:eastAsia="zh-CN"/>
              </w:rPr>
            </w:pPr>
            <w:r>
              <w:rPr>
                <w:rFonts w:hint="eastAsia" w:ascii="仿宋" w:hAnsi="仿宋" w:eastAsia="仿宋" w:cs="仿宋"/>
                <w:color w:val="auto"/>
                <w:w w:val="95"/>
                <w:sz w:val="24"/>
                <w:szCs w:val="24"/>
                <w:lang w:eastAsia="zh-CN"/>
              </w:rPr>
              <w:t>开展节能宣传</w:t>
            </w:r>
          </w:p>
        </w:tc>
        <w:tc>
          <w:tcPr>
            <w:tcW w:w="1273" w:type="dxa"/>
            <w:tcBorders>
              <w:bottom w:val="single" w:color="000000" w:sz="2" w:space="0"/>
            </w:tcBorders>
          </w:tcPr>
          <w:p w14:paraId="4FBDE693">
            <w:pPr>
              <w:pStyle w:val="12"/>
              <w:ind w:firstLine="240" w:firstLineChars="100"/>
              <w:jc w:val="both"/>
              <w:rPr>
                <w:rFonts w:hint="eastAsia" w:ascii="仿宋" w:hAnsi="仿宋" w:eastAsia="仿宋" w:cs="仿宋"/>
                <w:color w:val="auto"/>
                <w:sz w:val="24"/>
                <w:szCs w:val="24"/>
                <w:lang w:val="en-US" w:eastAsia="zh-CN"/>
              </w:rPr>
            </w:pPr>
          </w:p>
          <w:p w14:paraId="3F4B3D5D">
            <w:pPr>
              <w:pStyle w:val="12"/>
              <w:ind w:firstLine="240" w:firstLineChars="100"/>
              <w:jc w:val="both"/>
              <w:rPr>
                <w:rFonts w:hint="eastAsia" w:ascii="仿宋" w:hAnsi="仿宋" w:eastAsia="仿宋" w:cs="仿宋"/>
                <w:color w:val="auto"/>
                <w:sz w:val="24"/>
                <w:szCs w:val="24"/>
                <w:lang w:val="en-US" w:eastAsia="zh-CN"/>
              </w:rPr>
            </w:pPr>
          </w:p>
          <w:p w14:paraId="0C9A25C6">
            <w:pPr>
              <w:pStyle w:val="12"/>
              <w:ind w:firstLine="240" w:firstLineChars="100"/>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8次  </w:t>
            </w:r>
          </w:p>
          <w:p w14:paraId="48C0EC0C">
            <w:pPr>
              <w:pStyle w:val="12"/>
              <w:jc w:val="both"/>
              <w:rPr>
                <w:rFonts w:hint="eastAsia" w:ascii="仿宋" w:hAnsi="仿宋" w:eastAsia="仿宋" w:cs="仿宋"/>
                <w:color w:val="auto"/>
                <w:sz w:val="24"/>
                <w:szCs w:val="24"/>
                <w:lang w:val="en-US" w:eastAsia="zh-CN"/>
              </w:rPr>
            </w:pPr>
          </w:p>
          <w:p w14:paraId="5AFCABCA">
            <w:pPr>
              <w:pStyle w:val="12"/>
              <w:jc w:val="both"/>
              <w:rPr>
                <w:rFonts w:hint="default" w:ascii="仿宋" w:hAnsi="仿宋" w:eastAsia="仿宋" w:cs="仿宋"/>
                <w:color w:val="auto"/>
                <w:sz w:val="24"/>
                <w:szCs w:val="24"/>
                <w:lang w:val="en-US" w:eastAsia="zh-CN"/>
              </w:rPr>
            </w:pPr>
          </w:p>
        </w:tc>
        <w:tc>
          <w:tcPr>
            <w:tcW w:w="1293" w:type="dxa"/>
            <w:tcBorders>
              <w:bottom w:val="single" w:color="000000" w:sz="2" w:space="0"/>
            </w:tcBorders>
          </w:tcPr>
          <w:p w14:paraId="2A0623FD">
            <w:pPr>
              <w:pStyle w:val="12"/>
              <w:jc w:val="center"/>
              <w:rPr>
                <w:rFonts w:hint="eastAsia" w:ascii="仿宋" w:hAnsi="仿宋" w:eastAsia="仿宋" w:cs="仿宋"/>
                <w:color w:val="auto"/>
                <w:sz w:val="24"/>
                <w:szCs w:val="24"/>
                <w:lang w:eastAsia="zh-CN"/>
              </w:rPr>
            </w:pPr>
          </w:p>
          <w:p w14:paraId="06D49724">
            <w:pPr>
              <w:pStyle w:val="12"/>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10次</w:t>
            </w:r>
          </w:p>
        </w:tc>
        <w:tc>
          <w:tcPr>
            <w:tcW w:w="719" w:type="dxa"/>
            <w:tcBorders>
              <w:bottom w:val="single" w:color="000000" w:sz="2" w:space="0"/>
            </w:tcBorders>
          </w:tcPr>
          <w:p w14:paraId="2B95BB68">
            <w:pPr>
              <w:pStyle w:val="12"/>
              <w:jc w:val="center"/>
              <w:rPr>
                <w:rFonts w:hint="eastAsia" w:ascii="仿宋" w:hAnsi="仿宋" w:eastAsia="仿宋" w:cs="仿宋"/>
                <w:color w:val="auto"/>
                <w:sz w:val="24"/>
                <w:szCs w:val="24"/>
                <w:lang w:val="en-US" w:eastAsia="zh-CN"/>
              </w:rPr>
            </w:pPr>
          </w:p>
          <w:p w14:paraId="7C888B61">
            <w:pPr>
              <w:pStyle w:val="12"/>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w:t>
            </w:r>
          </w:p>
        </w:tc>
        <w:tc>
          <w:tcPr>
            <w:tcW w:w="1043" w:type="dxa"/>
            <w:tcBorders>
              <w:bottom w:val="single" w:color="000000" w:sz="2" w:space="0"/>
            </w:tcBorders>
          </w:tcPr>
          <w:p w14:paraId="5B9A3592">
            <w:pPr>
              <w:pStyle w:val="12"/>
              <w:spacing w:before="107" w:line="218" w:lineRule="auto"/>
              <w:ind w:left="385" w:right="143" w:hanging="203"/>
              <w:jc w:val="center"/>
              <w:rPr>
                <w:rFonts w:hint="eastAsia" w:ascii="仿宋" w:hAnsi="仿宋" w:eastAsia="仿宋" w:cs="仿宋"/>
                <w:color w:val="auto"/>
                <w:w w:val="95"/>
                <w:sz w:val="24"/>
                <w:szCs w:val="24"/>
                <w:lang w:val="en-US" w:eastAsia="zh-CN"/>
              </w:rPr>
            </w:pPr>
            <w:r>
              <w:rPr>
                <w:rFonts w:hint="eastAsia" w:ascii="仿宋" w:hAnsi="仿宋" w:eastAsia="仿宋" w:cs="仿宋"/>
                <w:color w:val="auto"/>
                <w:w w:val="95"/>
                <w:sz w:val="24"/>
                <w:szCs w:val="24"/>
                <w:lang w:val="en-US" w:eastAsia="zh-CN"/>
              </w:rPr>
              <w:t>6</w:t>
            </w:r>
          </w:p>
        </w:tc>
        <w:tc>
          <w:tcPr>
            <w:tcW w:w="1183" w:type="dxa"/>
            <w:tcBorders>
              <w:bottom w:val="single" w:color="000000" w:sz="2" w:space="0"/>
            </w:tcBorders>
          </w:tcPr>
          <w:p w14:paraId="4C63A580">
            <w:pPr>
              <w:pStyle w:val="12"/>
              <w:spacing w:before="107" w:line="218" w:lineRule="auto"/>
              <w:ind w:left="385" w:right="143" w:hanging="203"/>
              <w:jc w:val="center"/>
              <w:rPr>
                <w:rFonts w:hint="eastAsia" w:ascii="仿宋" w:hAnsi="仿宋" w:eastAsia="仿宋" w:cs="仿宋"/>
                <w:color w:val="auto"/>
                <w:w w:val="95"/>
                <w:sz w:val="24"/>
                <w:szCs w:val="24"/>
                <w:lang w:eastAsia="zh-CN"/>
              </w:rPr>
            </w:pPr>
          </w:p>
        </w:tc>
      </w:tr>
      <w:tr w14:paraId="6FD270D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5" w:hRule="atLeast"/>
          <w:jc w:val="center"/>
        </w:trPr>
        <w:tc>
          <w:tcPr>
            <w:tcW w:w="965" w:type="dxa"/>
            <w:vMerge w:val="continue"/>
            <w:tcBorders>
              <w:top w:val="nil"/>
            </w:tcBorders>
          </w:tcPr>
          <w:p w14:paraId="673F2691">
            <w:pPr>
              <w:jc w:val="center"/>
              <w:rPr>
                <w:rFonts w:hint="eastAsia" w:ascii="仿宋" w:hAnsi="仿宋" w:eastAsia="仿宋" w:cs="仿宋"/>
                <w:color w:val="auto"/>
                <w:w w:val="95"/>
                <w:kern w:val="2"/>
                <w:sz w:val="24"/>
                <w:szCs w:val="24"/>
                <w:lang w:val="en-US" w:eastAsia="zh-CN" w:bidi="ar-SA"/>
              </w:rPr>
            </w:pPr>
          </w:p>
        </w:tc>
        <w:tc>
          <w:tcPr>
            <w:tcW w:w="1026" w:type="dxa"/>
            <w:vMerge w:val="continue"/>
            <w:tcBorders>
              <w:top w:val="nil"/>
            </w:tcBorders>
          </w:tcPr>
          <w:p w14:paraId="44D55A6D">
            <w:pPr>
              <w:jc w:val="center"/>
              <w:rPr>
                <w:rFonts w:hint="eastAsia" w:ascii="仿宋" w:hAnsi="仿宋" w:eastAsia="仿宋" w:cs="仿宋"/>
                <w:color w:val="auto"/>
                <w:w w:val="95"/>
                <w:kern w:val="2"/>
                <w:sz w:val="24"/>
                <w:szCs w:val="24"/>
                <w:lang w:val="en-US" w:eastAsia="zh-CN" w:bidi="ar-SA"/>
              </w:rPr>
            </w:pPr>
          </w:p>
        </w:tc>
        <w:tc>
          <w:tcPr>
            <w:tcW w:w="988" w:type="dxa"/>
            <w:vMerge w:val="restart"/>
          </w:tcPr>
          <w:p w14:paraId="3969F7D3">
            <w:pPr>
              <w:pStyle w:val="12"/>
              <w:spacing w:before="103" w:line="218" w:lineRule="auto"/>
              <w:ind w:left="381" w:right="97" w:hanging="203"/>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社会效益指标</w:t>
            </w:r>
          </w:p>
        </w:tc>
        <w:tc>
          <w:tcPr>
            <w:tcW w:w="1388" w:type="dxa"/>
            <w:gridSpan w:val="2"/>
          </w:tcPr>
          <w:p w14:paraId="33744196">
            <w:pPr>
              <w:pStyle w:val="12"/>
              <w:spacing w:before="107" w:line="218" w:lineRule="auto"/>
              <w:ind w:right="99"/>
              <w:jc w:val="center"/>
              <w:rPr>
                <w:rFonts w:hint="eastAsia" w:ascii="仿宋" w:hAnsi="仿宋" w:eastAsia="仿宋" w:cs="仿宋"/>
                <w:color w:val="auto"/>
                <w:w w:val="95"/>
                <w:kern w:val="2"/>
                <w:sz w:val="24"/>
                <w:szCs w:val="24"/>
                <w:lang w:val="en-US" w:eastAsia="zh-CN" w:bidi="ar-SA"/>
              </w:rPr>
            </w:pPr>
            <w:r>
              <w:rPr>
                <w:rFonts w:hint="eastAsia" w:ascii="仿宋" w:hAnsi="仿宋" w:eastAsia="仿宋" w:cs="仿宋"/>
                <w:color w:val="auto"/>
                <w:w w:val="95"/>
                <w:kern w:val="2"/>
                <w:sz w:val="24"/>
                <w:szCs w:val="24"/>
                <w:lang w:val="en-US" w:eastAsia="zh-CN" w:bidi="ar-SA"/>
              </w:rPr>
              <w:t>公车食堂服务水平</w:t>
            </w:r>
          </w:p>
        </w:tc>
        <w:tc>
          <w:tcPr>
            <w:tcW w:w="1273" w:type="dxa"/>
            <w:tcBorders>
              <w:right w:val="single" w:color="000000" w:sz="2" w:space="0"/>
            </w:tcBorders>
          </w:tcPr>
          <w:p w14:paraId="1525047B">
            <w:pPr>
              <w:pStyle w:val="12"/>
              <w:jc w:val="center"/>
              <w:rPr>
                <w:rFonts w:hint="eastAsia" w:ascii="仿宋" w:hAnsi="仿宋" w:eastAsia="仿宋" w:cs="仿宋"/>
                <w:color w:val="auto"/>
                <w:sz w:val="24"/>
                <w:szCs w:val="24"/>
                <w:lang w:val="en-US" w:eastAsia="zh-CN"/>
              </w:rPr>
            </w:pPr>
          </w:p>
          <w:p w14:paraId="2291F956">
            <w:pPr>
              <w:pStyle w:val="12"/>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提高</w:t>
            </w:r>
          </w:p>
        </w:tc>
        <w:tc>
          <w:tcPr>
            <w:tcW w:w="1293" w:type="dxa"/>
            <w:tcBorders>
              <w:left w:val="single" w:color="000000" w:sz="2" w:space="0"/>
            </w:tcBorders>
          </w:tcPr>
          <w:p w14:paraId="0DD72BB0">
            <w:pPr>
              <w:pStyle w:val="12"/>
              <w:jc w:val="center"/>
              <w:rPr>
                <w:rFonts w:hint="eastAsia" w:ascii="仿宋" w:hAnsi="仿宋" w:eastAsia="仿宋" w:cs="仿宋"/>
                <w:color w:val="auto"/>
                <w:sz w:val="24"/>
                <w:szCs w:val="24"/>
                <w:lang w:val="en-US" w:eastAsia="zh-CN"/>
              </w:rPr>
            </w:pPr>
          </w:p>
          <w:p w14:paraId="2BB8428B">
            <w:pPr>
              <w:pStyle w:val="12"/>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明显提高</w:t>
            </w:r>
          </w:p>
        </w:tc>
        <w:tc>
          <w:tcPr>
            <w:tcW w:w="719" w:type="dxa"/>
          </w:tcPr>
          <w:p w14:paraId="26AFF08A">
            <w:pPr>
              <w:pStyle w:val="12"/>
              <w:jc w:val="center"/>
              <w:rPr>
                <w:rFonts w:hint="eastAsia" w:ascii="仿宋" w:hAnsi="仿宋" w:eastAsia="仿宋" w:cs="仿宋"/>
                <w:color w:val="auto"/>
                <w:sz w:val="24"/>
                <w:szCs w:val="24"/>
                <w:lang w:val="en-US" w:eastAsia="zh-CN"/>
              </w:rPr>
            </w:pPr>
          </w:p>
          <w:p w14:paraId="6709E97F">
            <w:pPr>
              <w:pStyle w:val="12"/>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w:t>
            </w:r>
          </w:p>
        </w:tc>
        <w:tc>
          <w:tcPr>
            <w:tcW w:w="1043" w:type="dxa"/>
          </w:tcPr>
          <w:p w14:paraId="4FC99A9D">
            <w:pPr>
              <w:pStyle w:val="12"/>
              <w:spacing w:before="107" w:line="218" w:lineRule="auto"/>
              <w:ind w:left="183" w:right="99" w:hanging="10"/>
              <w:jc w:val="center"/>
              <w:rPr>
                <w:rFonts w:hint="eastAsia" w:ascii="仿宋" w:hAnsi="仿宋" w:eastAsia="仿宋" w:cs="仿宋"/>
                <w:color w:val="auto"/>
                <w:w w:val="95"/>
                <w:kern w:val="2"/>
                <w:sz w:val="24"/>
                <w:szCs w:val="24"/>
                <w:lang w:val="en-US" w:eastAsia="zh-CN" w:bidi="ar-SA"/>
              </w:rPr>
            </w:pPr>
            <w:r>
              <w:rPr>
                <w:rFonts w:hint="eastAsia" w:ascii="仿宋" w:hAnsi="仿宋" w:eastAsia="仿宋" w:cs="仿宋"/>
                <w:color w:val="auto"/>
                <w:w w:val="95"/>
                <w:kern w:val="2"/>
                <w:sz w:val="24"/>
                <w:szCs w:val="24"/>
                <w:lang w:val="en-US" w:eastAsia="zh-CN" w:bidi="ar-SA"/>
              </w:rPr>
              <w:t>6</w:t>
            </w:r>
          </w:p>
        </w:tc>
        <w:tc>
          <w:tcPr>
            <w:tcW w:w="1183" w:type="dxa"/>
          </w:tcPr>
          <w:p w14:paraId="7DA39D9E">
            <w:pPr>
              <w:pStyle w:val="12"/>
              <w:spacing w:before="107" w:line="218" w:lineRule="auto"/>
              <w:ind w:left="183" w:right="99" w:hanging="10"/>
              <w:jc w:val="center"/>
              <w:rPr>
                <w:rFonts w:hint="eastAsia" w:ascii="仿宋" w:hAnsi="仿宋" w:eastAsia="仿宋" w:cs="仿宋"/>
                <w:color w:val="auto"/>
                <w:w w:val="95"/>
                <w:kern w:val="2"/>
                <w:sz w:val="24"/>
                <w:szCs w:val="24"/>
                <w:lang w:val="en-US" w:eastAsia="zh-CN" w:bidi="ar-SA"/>
              </w:rPr>
            </w:pPr>
          </w:p>
        </w:tc>
      </w:tr>
      <w:tr w14:paraId="1CA5A40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8" w:hRule="atLeast"/>
          <w:jc w:val="center"/>
        </w:trPr>
        <w:tc>
          <w:tcPr>
            <w:tcW w:w="965" w:type="dxa"/>
            <w:vMerge w:val="continue"/>
            <w:tcBorders>
              <w:top w:val="nil"/>
            </w:tcBorders>
          </w:tcPr>
          <w:p w14:paraId="012A243D">
            <w:pPr>
              <w:jc w:val="center"/>
              <w:rPr>
                <w:rFonts w:hint="eastAsia" w:ascii="仿宋" w:hAnsi="仿宋" w:eastAsia="仿宋" w:cs="仿宋"/>
                <w:color w:val="auto"/>
                <w:w w:val="95"/>
                <w:kern w:val="2"/>
                <w:sz w:val="24"/>
                <w:szCs w:val="24"/>
                <w:lang w:val="en-US" w:eastAsia="zh-CN" w:bidi="ar-SA"/>
              </w:rPr>
            </w:pPr>
          </w:p>
        </w:tc>
        <w:tc>
          <w:tcPr>
            <w:tcW w:w="1026" w:type="dxa"/>
            <w:vMerge w:val="continue"/>
            <w:tcBorders>
              <w:top w:val="nil"/>
            </w:tcBorders>
          </w:tcPr>
          <w:p w14:paraId="6678CBE8">
            <w:pPr>
              <w:jc w:val="center"/>
              <w:rPr>
                <w:rFonts w:hint="eastAsia" w:ascii="仿宋" w:hAnsi="仿宋" w:eastAsia="仿宋" w:cs="仿宋"/>
                <w:color w:val="auto"/>
                <w:w w:val="95"/>
                <w:kern w:val="2"/>
                <w:sz w:val="24"/>
                <w:szCs w:val="24"/>
                <w:lang w:val="en-US" w:eastAsia="zh-CN" w:bidi="ar-SA"/>
              </w:rPr>
            </w:pPr>
          </w:p>
        </w:tc>
        <w:tc>
          <w:tcPr>
            <w:tcW w:w="988" w:type="dxa"/>
            <w:vMerge w:val="continue"/>
            <w:tcBorders>
              <w:top w:val="nil"/>
            </w:tcBorders>
          </w:tcPr>
          <w:p w14:paraId="0EEDEC05">
            <w:pPr>
              <w:jc w:val="center"/>
              <w:rPr>
                <w:rFonts w:hint="eastAsia" w:ascii="仿宋" w:hAnsi="仿宋" w:eastAsia="仿宋" w:cs="仿宋"/>
                <w:color w:val="auto"/>
                <w:kern w:val="2"/>
                <w:sz w:val="24"/>
                <w:szCs w:val="24"/>
                <w:lang w:val="en-US" w:eastAsia="zh-CN" w:bidi="ar-SA"/>
              </w:rPr>
            </w:pPr>
          </w:p>
        </w:tc>
        <w:tc>
          <w:tcPr>
            <w:tcW w:w="1388" w:type="dxa"/>
            <w:gridSpan w:val="2"/>
            <w:tcBorders>
              <w:bottom w:val="single" w:color="000000" w:sz="2" w:space="0"/>
            </w:tcBorders>
          </w:tcPr>
          <w:p w14:paraId="2005821F">
            <w:pPr>
              <w:pStyle w:val="12"/>
              <w:jc w:val="center"/>
              <w:rPr>
                <w:rFonts w:hint="eastAsia" w:ascii="仿宋" w:hAnsi="仿宋" w:eastAsia="仿宋" w:cs="仿宋"/>
                <w:color w:val="auto"/>
                <w:w w:val="95"/>
                <w:kern w:val="2"/>
                <w:sz w:val="24"/>
                <w:szCs w:val="24"/>
                <w:lang w:val="en-US" w:eastAsia="zh-CN" w:bidi="ar-SA"/>
              </w:rPr>
            </w:pPr>
          </w:p>
          <w:p w14:paraId="27FC79C5">
            <w:pPr>
              <w:pStyle w:val="12"/>
              <w:jc w:val="center"/>
              <w:rPr>
                <w:rFonts w:hint="eastAsia" w:ascii="仿宋" w:hAnsi="仿宋" w:eastAsia="仿宋" w:cs="仿宋"/>
                <w:color w:val="auto"/>
                <w:w w:val="95"/>
                <w:kern w:val="2"/>
                <w:sz w:val="24"/>
                <w:szCs w:val="24"/>
                <w:lang w:val="en-US" w:eastAsia="zh-CN" w:bidi="ar-SA"/>
              </w:rPr>
            </w:pPr>
            <w:r>
              <w:rPr>
                <w:rFonts w:hint="eastAsia" w:ascii="仿宋" w:hAnsi="仿宋" w:eastAsia="仿宋" w:cs="仿宋"/>
                <w:color w:val="auto"/>
                <w:w w:val="95"/>
                <w:kern w:val="2"/>
                <w:sz w:val="24"/>
                <w:szCs w:val="24"/>
                <w:lang w:val="en-US" w:eastAsia="zh-CN" w:bidi="ar-SA"/>
              </w:rPr>
              <w:t>用餐人员幸福指数</w:t>
            </w:r>
          </w:p>
        </w:tc>
        <w:tc>
          <w:tcPr>
            <w:tcW w:w="1273" w:type="dxa"/>
            <w:tcBorders>
              <w:bottom w:val="single" w:color="000000" w:sz="2" w:space="0"/>
            </w:tcBorders>
          </w:tcPr>
          <w:p w14:paraId="28EC8498">
            <w:pPr>
              <w:pStyle w:val="12"/>
              <w:jc w:val="center"/>
              <w:rPr>
                <w:rFonts w:hint="eastAsia" w:ascii="仿宋" w:hAnsi="仿宋" w:eastAsia="仿宋" w:cs="仿宋"/>
                <w:color w:val="auto"/>
                <w:sz w:val="24"/>
                <w:szCs w:val="24"/>
                <w:lang w:val="en-US" w:eastAsia="zh-CN"/>
              </w:rPr>
            </w:pPr>
          </w:p>
          <w:p w14:paraId="78EDD17F">
            <w:pPr>
              <w:pStyle w:val="12"/>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提高</w:t>
            </w:r>
          </w:p>
        </w:tc>
        <w:tc>
          <w:tcPr>
            <w:tcW w:w="1293" w:type="dxa"/>
            <w:tcBorders>
              <w:bottom w:val="single" w:color="000000" w:sz="2" w:space="0"/>
            </w:tcBorders>
          </w:tcPr>
          <w:p w14:paraId="48322352">
            <w:pPr>
              <w:pStyle w:val="12"/>
              <w:jc w:val="center"/>
              <w:rPr>
                <w:rFonts w:hint="eastAsia" w:ascii="仿宋" w:hAnsi="仿宋" w:eastAsia="仿宋" w:cs="仿宋"/>
                <w:color w:val="auto"/>
                <w:sz w:val="24"/>
                <w:szCs w:val="24"/>
                <w:lang w:val="en-US" w:eastAsia="zh-CN"/>
              </w:rPr>
            </w:pPr>
          </w:p>
          <w:p w14:paraId="62003B19">
            <w:pPr>
              <w:pStyle w:val="12"/>
              <w:jc w:val="center"/>
              <w:rPr>
                <w:rFonts w:hint="eastAsia" w:ascii="仿宋" w:hAnsi="仿宋" w:eastAsia="仿宋" w:cs="仿宋"/>
                <w:color w:val="auto"/>
                <w:sz w:val="24"/>
                <w:szCs w:val="24"/>
                <w:lang w:val="en-US" w:eastAsia="zh-CN"/>
              </w:rPr>
            </w:pPr>
            <w:r>
              <w:rPr>
                <w:rFonts w:hint="eastAsia" w:ascii="仿宋" w:hAnsi="仿宋" w:eastAsia="仿宋" w:cs="仿宋"/>
                <w:color w:val="auto"/>
                <w:w w:val="95"/>
                <w:kern w:val="2"/>
                <w:sz w:val="24"/>
                <w:szCs w:val="24"/>
                <w:lang w:val="en-US" w:eastAsia="zh-CN" w:bidi="ar-SA"/>
              </w:rPr>
              <w:t>明显提高</w:t>
            </w:r>
          </w:p>
        </w:tc>
        <w:tc>
          <w:tcPr>
            <w:tcW w:w="719" w:type="dxa"/>
            <w:tcBorders>
              <w:bottom w:val="single" w:color="000000" w:sz="2" w:space="0"/>
            </w:tcBorders>
          </w:tcPr>
          <w:p w14:paraId="5A749A85">
            <w:pPr>
              <w:pStyle w:val="12"/>
              <w:jc w:val="center"/>
              <w:rPr>
                <w:rFonts w:hint="eastAsia" w:ascii="仿宋" w:hAnsi="仿宋" w:eastAsia="仿宋" w:cs="仿宋"/>
                <w:color w:val="auto"/>
                <w:sz w:val="24"/>
                <w:szCs w:val="24"/>
                <w:lang w:val="en-US" w:eastAsia="zh-CN"/>
              </w:rPr>
            </w:pPr>
          </w:p>
          <w:p w14:paraId="57A14CC3">
            <w:pPr>
              <w:pStyle w:val="12"/>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w:t>
            </w:r>
          </w:p>
        </w:tc>
        <w:tc>
          <w:tcPr>
            <w:tcW w:w="1043" w:type="dxa"/>
            <w:tcBorders>
              <w:bottom w:val="single" w:color="000000" w:sz="2" w:space="0"/>
            </w:tcBorders>
          </w:tcPr>
          <w:p w14:paraId="167DCDF4">
            <w:pPr>
              <w:pStyle w:val="12"/>
              <w:spacing w:before="107" w:line="218" w:lineRule="auto"/>
              <w:ind w:left="385" w:right="143" w:hanging="203"/>
              <w:jc w:val="center"/>
              <w:rPr>
                <w:rFonts w:hint="eastAsia" w:ascii="仿宋" w:hAnsi="仿宋" w:eastAsia="仿宋" w:cs="仿宋"/>
                <w:color w:val="auto"/>
                <w:w w:val="95"/>
                <w:kern w:val="2"/>
                <w:sz w:val="24"/>
                <w:szCs w:val="24"/>
                <w:lang w:val="en-US" w:eastAsia="zh-CN" w:bidi="ar-SA"/>
              </w:rPr>
            </w:pPr>
            <w:r>
              <w:rPr>
                <w:rFonts w:hint="eastAsia" w:ascii="仿宋" w:hAnsi="仿宋" w:eastAsia="仿宋" w:cs="仿宋"/>
                <w:color w:val="auto"/>
                <w:w w:val="95"/>
                <w:kern w:val="2"/>
                <w:sz w:val="24"/>
                <w:szCs w:val="24"/>
                <w:lang w:val="en-US" w:eastAsia="zh-CN" w:bidi="ar-SA"/>
              </w:rPr>
              <w:t>6</w:t>
            </w:r>
          </w:p>
        </w:tc>
        <w:tc>
          <w:tcPr>
            <w:tcW w:w="1183" w:type="dxa"/>
            <w:tcBorders>
              <w:bottom w:val="single" w:color="000000" w:sz="2" w:space="0"/>
              <w:right w:val="single" w:color="000000" w:sz="2" w:space="0"/>
            </w:tcBorders>
          </w:tcPr>
          <w:p w14:paraId="08F3DB40">
            <w:pPr>
              <w:pStyle w:val="12"/>
              <w:spacing w:before="107" w:line="218" w:lineRule="auto"/>
              <w:ind w:left="385" w:right="143" w:hanging="203"/>
              <w:jc w:val="center"/>
              <w:rPr>
                <w:rFonts w:hint="eastAsia" w:ascii="仿宋" w:hAnsi="仿宋" w:eastAsia="仿宋" w:cs="仿宋"/>
                <w:color w:val="auto"/>
                <w:w w:val="95"/>
                <w:kern w:val="2"/>
                <w:sz w:val="24"/>
                <w:szCs w:val="24"/>
                <w:lang w:val="en-US" w:eastAsia="zh-CN" w:bidi="ar-SA"/>
              </w:rPr>
            </w:pPr>
          </w:p>
        </w:tc>
      </w:tr>
      <w:tr w14:paraId="60F8A04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4" w:hRule="atLeast"/>
          <w:jc w:val="center"/>
        </w:trPr>
        <w:tc>
          <w:tcPr>
            <w:tcW w:w="965" w:type="dxa"/>
            <w:vMerge w:val="continue"/>
            <w:tcBorders>
              <w:top w:val="nil"/>
            </w:tcBorders>
          </w:tcPr>
          <w:p w14:paraId="043E96B1">
            <w:pPr>
              <w:jc w:val="center"/>
              <w:rPr>
                <w:rFonts w:hint="eastAsia" w:ascii="仿宋" w:hAnsi="仿宋" w:eastAsia="仿宋" w:cs="仿宋"/>
                <w:color w:val="auto"/>
                <w:sz w:val="24"/>
                <w:szCs w:val="24"/>
              </w:rPr>
            </w:pPr>
          </w:p>
        </w:tc>
        <w:tc>
          <w:tcPr>
            <w:tcW w:w="1026" w:type="dxa"/>
            <w:vMerge w:val="continue"/>
            <w:tcBorders>
              <w:top w:val="nil"/>
            </w:tcBorders>
          </w:tcPr>
          <w:p w14:paraId="4FC76771">
            <w:pPr>
              <w:jc w:val="center"/>
              <w:rPr>
                <w:rFonts w:hint="eastAsia" w:ascii="仿宋" w:hAnsi="仿宋" w:eastAsia="仿宋" w:cs="仿宋"/>
                <w:color w:val="auto"/>
                <w:sz w:val="24"/>
                <w:szCs w:val="24"/>
              </w:rPr>
            </w:pPr>
          </w:p>
        </w:tc>
        <w:tc>
          <w:tcPr>
            <w:tcW w:w="988" w:type="dxa"/>
            <w:tcBorders>
              <w:bottom w:val="single" w:color="000000" w:sz="2" w:space="0"/>
            </w:tcBorders>
          </w:tcPr>
          <w:p w14:paraId="21698C89">
            <w:pPr>
              <w:pStyle w:val="12"/>
              <w:spacing w:before="103" w:line="218" w:lineRule="auto"/>
              <w:ind w:left="381" w:right="97" w:hanging="203"/>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生态效益指标</w:t>
            </w:r>
          </w:p>
        </w:tc>
        <w:tc>
          <w:tcPr>
            <w:tcW w:w="1388" w:type="dxa"/>
            <w:gridSpan w:val="2"/>
            <w:tcBorders>
              <w:bottom w:val="single" w:color="000000" w:sz="2" w:space="0"/>
            </w:tcBorders>
          </w:tcPr>
          <w:p w14:paraId="4B3FB60F">
            <w:pPr>
              <w:pStyle w:val="12"/>
              <w:jc w:val="both"/>
              <w:rPr>
                <w:rFonts w:hint="eastAsia" w:ascii="仿宋" w:hAnsi="仿宋" w:eastAsia="仿宋" w:cs="仿宋"/>
                <w:color w:val="auto"/>
                <w:w w:val="95"/>
                <w:kern w:val="2"/>
                <w:sz w:val="24"/>
                <w:szCs w:val="24"/>
                <w:lang w:val="en-US" w:eastAsia="zh-CN" w:bidi="ar-SA"/>
              </w:rPr>
            </w:pPr>
            <w:r>
              <w:rPr>
                <w:rFonts w:hint="eastAsia" w:ascii="仿宋" w:hAnsi="仿宋" w:eastAsia="仿宋" w:cs="仿宋"/>
                <w:color w:val="auto"/>
                <w:w w:val="95"/>
                <w:kern w:val="2"/>
                <w:sz w:val="24"/>
                <w:szCs w:val="24"/>
                <w:lang w:val="en-US" w:eastAsia="zh-CN" w:bidi="ar-SA"/>
              </w:rPr>
              <w:t>新能源公车使用率提高改变生态环境</w:t>
            </w:r>
          </w:p>
        </w:tc>
        <w:tc>
          <w:tcPr>
            <w:tcW w:w="1273" w:type="dxa"/>
            <w:tcBorders>
              <w:bottom w:val="single" w:color="000000" w:sz="2" w:space="0"/>
            </w:tcBorders>
          </w:tcPr>
          <w:p w14:paraId="23DFA154">
            <w:pPr>
              <w:pStyle w:val="12"/>
              <w:jc w:val="center"/>
              <w:rPr>
                <w:rFonts w:hint="eastAsia" w:ascii="仿宋" w:hAnsi="仿宋" w:eastAsia="仿宋" w:cs="仿宋"/>
                <w:color w:val="auto"/>
                <w:sz w:val="24"/>
                <w:szCs w:val="24"/>
                <w:lang w:eastAsia="zh-CN"/>
              </w:rPr>
            </w:pPr>
            <w:r>
              <w:rPr>
                <w:rFonts w:hint="eastAsia" w:ascii="仿宋" w:hAnsi="仿宋" w:eastAsia="仿宋" w:cs="仿宋"/>
                <w:color w:val="auto"/>
                <w:w w:val="95"/>
                <w:kern w:val="2"/>
                <w:sz w:val="24"/>
                <w:szCs w:val="24"/>
                <w:lang w:val="en-US" w:eastAsia="zh-CN" w:bidi="ar-SA"/>
              </w:rPr>
              <w:t>提高生态环境</w:t>
            </w:r>
          </w:p>
          <w:p w14:paraId="4D05ABC6">
            <w:pPr>
              <w:pStyle w:val="12"/>
              <w:jc w:val="center"/>
              <w:rPr>
                <w:rFonts w:hint="eastAsia" w:ascii="仿宋" w:hAnsi="仿宋" w:eastAsia="仿宋" w:cs="仿宋"/>
                <w:color w:val="auto"/>
                <w:sz w:val="24"/>
                <w:szCs w:val="24"/>
                <w:lang w:eastAsia="zh-CN"/>
              </w:rPr>
            </w:pPr>
          </w:p>
        </w:tc>
        <w:tc>
          <w:tcPr>
            <w:tcW w:w="1293" w:type="dxa"/>
            <w:tcBorders>
              <w:bottom w:val="single" w:color="000000" w:sz="2" w:space="0"/>
            </w:tcBorders>
          </w:tcPr>
          <w:p w14:paraId="216942C6">
            <w:pPr>
              <w:pStyle w:val="12"/>
              <w:jc w:val="center"/>
              <w:rPr>
                <w:rFonts w:hint="eastAsia" w:ascii="仿宋" w:hAnsi="仿宋" w:eastAsia="仿宋" w:cs="仿宋"/>
                <w:color w:val="auto"/>
                <w:sz w:val="24"/>
                <w:szCs w:val="24"/>
                <w:lang w:eastAsia="zh-CN"/>
              </w:rPr>
            </w:pPr>
          </w:p>
          <w:p w14:paraId="53CC2672">
            <w:pPr>
              <w:pStyle w:val="12"/>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明显提高</w:t>
            </w:r>
          </w:p>
        </w:tc>
        <w:tc>
          <w:tcPr>
            <w:tcW w:w="719" w:type="dxa"/>
            <w:tcBorders>
              <w:bottom w:val="single" w:color="000000" w:sz="2" w:space="0"/>
            </w:tcBorders>
          </w:tcPr>
          <w:p w14:paraId="2C108224">
            <w:pPr>
              <w:pStyle w:val="12"/>
              <w:jc w:val="center"/>
              <w:rPr>
                <w:rFonts w:hint="eastAsia" w:ascii="仿宋" w:hAnsi="仿宋" w:eastAsia="仿宋" w:cs="仿宋"/>
                <w:color w:val="auto"/>
                <w:sz w:val="24"/>
                <w:szCs w:val="24"/>
                <w:lang w:val="en-US" w:eastAsia="zh-CN"/>
              </w:rPr>
            </w:pPr>
          </w:p>
          <w:p w14:paraId="59717884">
            <w:pPr>
              <w:pStyle w:val="12"/>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w:t>
            </w:r>
          </w:p>
        </w:tc>
        <w:tc>
          <w:tcPr>
            <w:tcW w:w="1043" w:type="dxa"/>
            <w:tcBorders>
              <w:bottom w:val="single" w:color="000000" w:sz="2" w:space="0"/>
            </w:tcBorders>
          </w:tcPr>
          <w:p w14:paraId="7F86C6D6">
            <w:pPr>
              <w:pStyle w:val="12"/>
              <w:spacing w:before="107" w:line="218" w:lineRule="auto"/>
              <w:ind w:left="385" w:right="143" w:hanging="203"/>
              <w:jc w:val="center"/>
              <w:rPr>
                <w:rFonts w:hint="eastAsia" w:ascii="仿宋" w:hAnsi="仿宋" w:eastAsia="仿宋" w:cs="仿宋"/>
                <w:color w:val="auto"/>
                <w:w w:val="95"/>
                <w:sz w:val="24"/>
                <w:szCs w:val="24"/>
                <w:lang w:val="en-US" w:eastAsia="zh-CN"/>
              </w:rPr>
            </w:pPr>
            <w:r>
              <w:rPr>
                <w:rFonts w:hint="eastAsia" w:ascii="仿宋" w:hAnsi="仿宋" w:eastAsia="仿宋" w:cs="仿宋"/>
                <w:color w:val="auto"/>
                <w:w w:val="95"/>
                <w:sz w:val="24"/>
                <w:szCs w:val="24"/>
                <w:lang w:val="en-US" w:eastAsia="zh-CN"/>
              </w:rPr>
              <w:t>6</w:t>
            </w:r>
          </w:p>
        </w:tc>
        <w:tc>
          <w:tcPr>
            <w:tcW w:w="1183" w:type="dxa"/>
            <w:tcBorders>
              <w:bottom w:val="single" w:color="000000" w:sz="2" w:space="0"/>
            </w:tcBorders>
          </w:tcPr>
          <w:p w14:paraId="4502791D">
            <w:pPr>
              <w:pStyle w:val="12"/>
              <w:spacing w:before="107" w:line="218" w:lineRule="auto"/>
              <w:ind w:left="385" w:right="143" w:hanging="203"/>
              <w:jc w:val="center"/>
              <w:rPr>
                <w:rFonts w:hint="eastAsia" w:ascii="仿宋" w:hAnsi="仿宋" w:eastAsia="仿宋" w:cs="仿宋"/>
                <w:color w:val="auto"/>
                <w:w w:val="95"/>
                <w:sz w:val="24"/>
                <w:szCs w:val="24"/>
                <w:lang w:eastAsia="zh-CN"/>
              </w:rPr>
            </w:pPr>
          </w:p>
        </w:tc>
      </w:tr>
      <w:tr w14:paraId="49F188D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1" w:hRule="atLeast"/>
          <w:jc w:val="center"/>
        </w:trPr>
        <w:tc>
          <w:tcPr>
            <w:tcW w:w="965" w:type="dxa"/>
            <w:vMerge w:val="continue"/>
            <w:tcBorders>
              <w:top w:val="nil"/>
            </w:tcBorders>
          </w:tcPr>
          <w:p w14:paraId="67B6C8F9">
            <w:pPr>
              <w:jc w:val="center"/>
              <w:rPr>
                <w:rFonts w:hint="eastAsia" w:ascii="仿宋" w:hAnsi="仿宋" w:eastAsia="仿宋" w:cs="仿宋"/>
                <w:color w:val="auto"/>
                <w:sz w:val="24"/>
                <w:szCs w:val="24"/>
              </w:rPr>
            </w:pPr>
          </w:p>
        </w:tc>
        <w:tc>
          <w:tcPr>
            <w:tcW w:w="1026" w:type="dxa"/>
            <w:vMerge w:val="continue"/>
            <w:tcBorders>
              <w:top w:val="nil"/>
            </w:tcBorders>
          </w:tcPr>
          <w:p w14:paraId="5DFD6C7C">
            <w:pPr>
              <w:jc w:val="center"/>
              <w:rPr>
                <w:rFonts w:hint="eastAsia" w:ascii="仿宋" w:hAnsi="仿宋" w:eastAsia="仿宋" w:cs="仿宋"/>
                <w:color w:val="auto"/>
                <w:sz w:val="24"/>
                <w:szCs w:val="24"/>
              </w:rPr>
            </w:pPr>
          </w:p>
        </w:tc>
        <w:tc>
          <w:tcPr>
            <w:tcW w:w="988" w:type="dxa"/>
            <w:tcBorders>
              <w:top w:val="single" w:color="000000" w:sz="2" w:space="0"/>
            </w:tcBorders>
          </w:tcPr>
          <w:p w14:paraId="6B1E9FF9">
            <w:pPr>
              <w:pStyle w:val="12"/>
              <w:spacing w:before="103" w:line="218" w:lineRule="auto"/>
              <w:ind w:left="381" w:right="97" w:hanging="203"/>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可持续影响指标</w:t>
            </w:r>
          </w:p>
        </w:tc>
        <w:tc>
          <w:tcPr>
            <w:tcW w:w="1388" w:type="dxa"/>
            <w:gridSpan w:val="2"/>
            <w:tcBorders>
              <w:top w:val="single" w:color="000000" w:sz="2" w:space="0"/>
              <w:bottom w:val="single" w:color="000000" w:sz="2" w:space="0"/>
            </w:tcBorders>
          </w:tcPr>
          <w:p w14:paraId="3A078216">
            <w:pPr>
              <w:pStyle w:val="12"/>
              <w:jc w:val="center"/>
              <w:rPr>
                <w:rFonts w:hint="eastAsia" w:ascii="仿宋" w:hAnsi="仿宋" w:eastAsia="仿宋" w:cs="仿宋"/>
                <w:color w:val="auto"/>
                <w:w w:val="95"/>
                <w:kern w:val="2"/>
                <w:sz w:val="24"/>
                <w:szCs w:val="24"/>
                <w:lang w:val="en-US" w:eastAsia="zh-CN" w:bidi="ar-SA"/>
              </w:rPr>
            </w:pPr>
            <w:r>
              <w:rPr>
                <w:rFonts w:hint="eastAsia" w:ascii="仿宋" w:hAnsi="仿宋" w:eastAsia="仿宋" w:cs="仿宋"/>
                <w:color w:val="auto"/>
                <w:w w:val="95"/>
                <w:kern w:val="2"/>
                <w:sz w:val="24"/>
                <w:szCs w:val="24"/>
                <w:lang w:val="en-US" w:eastAsia="zh-CN" w:bidi="ar-SA"/>
              </w:rPr>
              <w:t>环境改善持续性</w:t>
            </w:r>
          </w:p>
        </w:tc>
        <w:tc>
          <w:tcPr>
            <w:tcW w:w="1273" w:type="dxa"/>
            <w:tcBorders>
              <w:top w:val="single" w:color="000000" w:sz="2" w:space="0"/>
              <w:bottom w:val="single" w:color="000000" w:sz="2" w:space="0"/>
            </w:tcBorders>
          </w:tcPr>
          <w:p w14:paraId="546DE645">
            <w:pPr>
              <w:pStyle w:val="12"/>
              <w:jc w:val="center"/>
              <w:rPr>
                <w:rFonts w:hint="eastAsia" w:ascii="仿宋" w:hAnsi="仿宋" w:eastAsia="仿宋" w:cs="仿宋"/>
                <w:color w:val="auto"/>
                <w:sz w:val="24"/>
                <w:szCs w:val="24"/>
                <w:lang w:eastAsia="zh-CN"/>
              </w:rPr>
            </w:pPr>
          </w:p>
          <w:p w14:paraId="783A58DF">
            <w:pPr>
              <w:pStyle w:val="12"/>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可持续</w:t>
            </w:r>
          </w:p>
        </w:tc>
        <w:tc>
          <w:tcPr>
            <w:tcW w:w="1293" w:type="dxa"/>
            <w:tcBorders>
              <w:top w:val="single" w:color="000000" w:sz="2" w:space="0"/>
              <w:bottom w:val="single" w:color="000000" w:sz="2" w:space="0"/>
            </w:tcBorders>
          </w:tcPr>
          <w:p w14:paraId="41B73DEF">
            <w:pPr>
              <w:pStyle w:val="12"/>
              <w:jc w:val="center"/>
              <w:rPr>
                <w:rFonts w:hint="eastAsia" w:ascii="仿宋" w:hAnsi="仿宋" w:eastAsia="仿宋" w:cs="仿宋"/>
                <w:color w:val="auto"/>
                <w:sz w:val="24"/>
                <w:szCs w:val="24"/>
                <w:lang w:eastAsia="zh-CN"/>
              </w:rPr>
            </w:pPr>
          </w:p>
          <w:p w14:paraId="3867B73D">
            <w:pPr>
              <w:pStyle w:val="12"/>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可持续</w:t>
            </w:r>
          </w:p>
        </w:tc>
        <w:tc>
          <w:tcPr>
            <w:tcW w:w="719" w:type="dxa"/>
            <w:tcBorders>
              <w:top w:val="single" w:color="000000" w:sz="2" w:space="0"/>
              <w:bottom w:val="single" w:color="000000" w:sz="2" w:space="0"/>
            </w:tcBorders>
          </w:tcPr>
          <w:p w14:paraId="425099C3">
            <w:pPr>
              <w:pStyle w:val="12"/>
              <w:jc w:val="center"/>
              <w:rPr>
                <w:rFonts w:hint="eastAsia" w:ascii="仿宋" w:hAnsi="仿宋" w:eastAsia="仿宋" w:cs="仿宋"/>
                <w:color w:val="auto"/>
                <w:sz w:val="24"/>
                <w:szCs w:val="24"/>
                <w:lang w:val="en-US" w:eastAsia="zh-CN"/>
              </w:rPr>
            </w:pPr>
          </w:p>
          <w:p w14:paraId="35AB20F5">
            <w:pPr>
              <w:pStyle w:val="12"/>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w:t>
            </w:r>
          </w:p>
        </w:tc>
        <w:tc>
          <w:tcPr>
            <w:tcW w:w="1043" w:type="dxa"/>
            <w:tcBorders>
              <w:top w:val="single" w:color="000000" w:sz="2" w:space="0"/>
              <w:bottom w:val="single" w:color="000000" w:sz="2" w:space="0"/>
            </w:tcBorders>
          </w:tcPr>
          <w:p w14:paraId="405F6294">
            <w:pPr>
              <w:pStyle w:val="12"/>
              <w:spacing w:before="107" w:line="218" w:lineRule="auto"/>
              <w:ind w:left="385" w:right="143" w:hanging="203"/>
              <w:jc w:val="center"/>
              <w:rPr>
                <w:rFonts w:hint="eastAsia" w:ascii="仿宋" w:hAnsi="仿宋" w:eastAsia="仿宋" w:cs="仿宋"/>
                <w:color w:val="auto"/>
                <w:w w:val="95"/>
                <w:sz w:val="24"/>
                <w:szCs w:val="24"/>
                <w:lang w:val="en-US" w:eastAsia="zh-CN"/>
              </w:rPr>
            </w:pPr>
            <w:r>
              <w:rPr>
                <w:rFonts w:hint="eastAsia" w:ascii="仿宋" w:hAnsi="仿宋" w:eastAsia="仿宋" w:cs="仿宋"/>
                <w:color w:val="auto"/>
                <w:w w:val="95"/>
                <w:sz w:val="24"/>
                <w:szCs w:val="24"/>
                <w:lang w:val="en-US" w:eastAsia="zh-CN"/>
              </w:rPr>
              <w:t>5</w:t>
            </w:r>
          </w:p>
        </w:tc>
        <w:tc>
          <w:tcPr>
            <w:tcW w:w="1183" w:type="dxa"/>
            <w:tcBorders>
              <w:top w:val="single" w:color="000000" w:sz="2" w:space="0"/>
              <w:bottom w:val="single" w:color="000000" w:sz="2" w:space="0"/>
            </w:tcBorders>
          </w:tcPr>
          <w:p w14:paraId="6D7A2630">
            <w:pPr>
              <w:pStyle w:val="12"/>
              <w:spacing w:before="107" w:line="218" w:lineRule="auto"/>
              <w:ind w:left="385" w:right="143" w:hanging="203"/>
              <w:jc w:val="center"/>
              <w:rPr>
                <w:rFonts w:hint="eastAsia" w:ascii="仿宋" w:hAnsi="仿宋" w:eastAsia="仿宋" w:cs="仿宋"/>
                <w:color w:val="auto"/>
                <w:w w:val="95"/>
                <w:sz w:val="24"/>
                <w:szCs w:val="24"/>
                <w:lang w:eastAsia="zh-CN"/>
              </w:rPr>
            </w:pPr>
          </w:p>
        </w:tc>
      </w:tr>
      <w:tr w14:paraId="2218575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810" w:hRule="atLeast"/>
          <w:jc w:val="center"/>
        </w:trPr>
        <w:tc>
          <w:tcPr>
            <w:tcW w:w="965" w:type="dxa"/>
            <w:vMerge w:val="continue"/>
            <w:tcBorders>
              <w:top w:val="nil"/>
            </w:tcBorders>
          </w:tcPr>
          <w:p w14:paraId="57F221A2">
            <w:pPr>
              <w:jc w:val="center"/>
              <w:rPr>
                <w:rFonts w:hint="eastAsia" w:ascii="仿宋" w:hAnsi="仿宋" w:eastAsia="仿宋" w:cs="仿宋"/>
                <w:color w:val="auto"/>
                <w:sz w:val="30"/>
                <w:szCs w:val="30"/>
              </w:rPr>
            </w:pPr>
          </w:p>
        </w:tc>
        <w:tc>
          <w:tcPr>
            <w:tcW w:w="1026" w:type="dxa"/>
            <w:vMerge w:val="continue"/>
            <w:tcBorders>
              <w:top w:val="nil"/>
            </w:tcBorders>
          </w:tcPr>
          <w:p w14:paraId="1E9E4B96">
            <w:pPr>
              <w:jc w:val="center"/>
              <w:rPr>
                <w:rFonts w:hint="eastAsia" w:ascii="仿宋" w:hAnsi="仿宋" w:eastAsia="仿宋" w:cs="仿宋"/>
                <w:color w:val="auto"/>
                <w:sz w:val="30"/>
                <w:szCs w:val="30"/>
              </w:rPr>
            </w:pPr>
          </w:p>
        </w:tc>
        <w:tc>
          <w:tcPr>
            <w:tcW w:w="988" w:type="dxa"/>
          </w:tcPr>
          <w:p w14:paraId="28643FB6">
            <w:pPr>
              <w:pStyle w:val="12"/>
              <w:spacing w:before="103" w:line="218" w:lineRule="auto"/>
              <w:ind w:left="381" w:right="97" w:hanging="203"/>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服务对象满意度指标</w:t>
            </w:r>
          </w:p>
        </w:tc>
        <w:tc>
          <w:tcPr>
            <w:tcW w:w="1388" w:type="dxa"/>
            <w:gridSpan w:val="2"/>
            <w:tcBorders>
              <w:bottom w:val="single" w:color="000000" w:sz="2" w:space="0"/>
            </w:tcBorders>
          </w:tcPr>
          <w:p w14:paraId="3AFF3178">
            <w:pPr>
              <w:pStyle w:val="12"/>
              <w:jc w:val="center"/>
              <w:rPr>
                <w:rFonts w:hint="eastAsia" w:ascii="仿宋" w:hAnsi="仿宋" w:eastAsia="仿宋" w:cs="仿宋"/>
                <w:color w:val="auto"/>
                <w:w w:val="95"/>
                <w:kern w:val="2"/>
                <w:sz w:val="24"/>
                <w:szCs w:val="24"/>
                <w:lang w:val="en-US" w:eastAsia="zh-CN" w:bidi="ar-SA"/>
              </w:rPr>
            </w:pPr>
            <w:r>
              <w:rPr>
                <w:rFonts w:hint="eastAsia" w:ascii="仿宋" w:hAnsi="仿宋" w:eastAsia="仿宋" w:cs="仿宋"/>
                <w:color w:val="auto"/>
                <w:w w:val="95"/>
                <w:kern w:val="2"/>
                <w:sz w:val="24"/>
                <w:szCs w:val="24"/>
                <w:lang w:val="en-US" w:eastAsia="zh-CN" w:bidi="ar-SA"/>
              </w:rPr>
              <w:t>服务对象满意度</w:t>
            </w:r>
          </w:p>
        </w:tc>
        <w:tc>
          <w:tcPr>
            <w:tcW w:w="1273" w:type="dxa"/>
            <w:tcBorders>
              <w:bottom w:val="single" w:color="000000" w:sz="2" w:space="0"/>
            </w:tcBorders>
          </w:tcPr>
          <w:p w14:paraId="6799F4F5">
            <w:pPr>
              <w:pStyle w:val="12"/>
              <w:jc w:val="center"/>
              <w:rPr>
                <w:rFonts w:hint="eastAsia" w:ascii="仿宋" w:hAnsi="仿宋" w:eastAsia="仿宋" w:cs="仿宋"/>
                <w:color w:val="auto"/>
                <w:sz w:val="24"/>
                <w:szCs w:val="24"/>
                <w:lang w:eastAsia="zh-CN"/>
              </w:rPr>
            </w:pPr>
          </w:p>
          <w:p w14:paraId="733B3F85">
            <w:pPr>
              <w:pStyle w:val="12"/>
              <w:jc w:val="center"/>
              <w:rPr>
                <w:rFonts w:hint="eastAsia" w:ascii="仿宋" w:hAnsi="仿宋" w:eastAsia="仿宋" w:cs="仿宋"/>
                <w:color w:val="auto"/>
                <w:sz w:val="24"/>
                <w:szCs w:val="24"/>
                <w:lang w:eastAsia="zh-CN"/>
              </w:rPr>
            </w:pPr>
            <w:r>
              <w:rPr>
                <w:rFonts w:hint="eastAsia" w:ascii="仿宋" w:hAnsi="仿宋" w:eastAsia="仿宋" w:cs="仿宋"/>
                <w:color w:val="auto"/>
                <w:w w:val="95"/>
                <w:kern w:val="2"/>
                <w:sz w:val="24"/>
                <w:szCs w:val="24"/>
                <w:lang w:val="en-US" w:eastAsia="zh-CN" w:bidi="ar-SA"/>
              </w:rPr>
              <w:t>服务对象满意度</w:t>
            </w:r>
          </w:p>
        </w:tc>
        <w:tc>
          <w:tcPr>
            <w:tcW w:w="1293" w:type="dxa"/>
            <w:tcBorders>
              <w:bottom w:val="single" w:color="000000" w:sz="2" w:space="0"/>
            </w:tcBorders>
          </w:tcPr>
          <w:p w14:paraId="0EF9A5F1">
            <w:pPr>
              <w:pStyle w:val="12"/>
              <w:jc w:val="center"/>
              <w:rPr>
                <w:rFonts w:hint="eastAsia" w:ascii="仿宋" w:hAnsi="仿宋" w:eastAsia="仿宋" w:cs="仿宋"/>
                <w:color w:val="auto"/>
                <w:sz w:val="24"/>
                <w:szCs w:val="24"/>
                <w:lang w:val="en-US" w:eastAsia="zh-CN"/>
              </w:rPr>
            </w:pPr>
          </w:p>
          <w:p w14:paraId="341AC997">
            <w:pPr>
              <w:pStyle w:val="12"/>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99%</w:t>
            </w:r>
          </w:p>
        </w:tc>
        <w:tc>
          <w:tcPr>
            <w:tcW w:w="719" w:type="dxa"/>
            <w:tcBorders>
              <w:bottom w:val="single" w:color="000000" w:sz="2" w:space="0"/>
            </w:tcBorders>
          </w:tcPr>
          <w:p w14:paraId="120E56B9">
            <w:pPr>
              <w:pStyle w:val="12"/>
              <w:jc w:val="center"/>
              <w:rPr>
                <w:rFonts w:hint="eastAsia" w:ascii="仿宋" w:hAnsi="仿宋" w:eastAsia="仿宋" w:cs="仿宋"/>
                <w:color w:val="auto"/>
                <w:sz w:val="24"/>
                <w:szCs w:val="24"/>
                <w:lang w:val="en-US" w:eastAsia="zh-CN"/>
              </w:rPr>
            </w:pPr>
          </w:p>
          <w:p w14:paraId="3189E429">
            <w:pPr>
              <w:pStyle w:val="12"/>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w:t>
            </w:r>
          </w:p>
        </w:tc>
        <w:tc>
          <w:tcPr>
            <w:tcW w:w="1043" w:type="dxa"/>
            <w:tcBorders>
              <w:bottom w:val="single" w:color="000000" w:sz="2" w:space="0"/>
            </w:tcBorders>
          </w:tcPr>
          <w:p w14:paraId="2A791EB5">
            <w:pPr>
              <w:pStyle w:val="12"/>
              <w:spacing w:before="107" w:line="218" w:lineRule="auto"/>
              <w:ind w:left="385" w:right="143" w:hanging="203"/>
              <w:jc w:val="center"/>
              <w:rPr>
                <w:rFonts w:hint="eastAsia" w:ascii="仿宋" w:hAnsi="仿宋" w:eastAsia="仿宋" w:cs="仿宋"/>
                <w:color w:val="auto"/>
                <w:w w:val="95"/>
                <w:sz w:val="24"/>
                <w:szCs w:val="24"/>
                <w:lang w:val="en-US" w:eastAsia="zh-CN"/>
              </w:rPr>
            </w:pPr>
            <w:r>
              <w:rPr>
                <w:rFonts w:hint="eastAsia" w:ascii="仿宋" w:hAnsi="仿宋" w:eastAsia="仿宋" w:cs="仿宋"/>
                <w:color w:val="auto"/>
                <w:w w:val="95"/>
                <w:sz w:val="24"/>
                <w:szCs w:val="24"/>
                <w:lang w:val="en-US" w:eastAsia="zh-CN"/>
              </w:rPr>
              <w:t>5</w:t>
            </w:r>
          </w:p>
        </w:tc>
        <w:tc>
          <w:tcPr>
            <w:tcW w:w="1183" w:type="dxa"/>
            <w:tcBorders>
              <w:bottom w:val="single" w:color="000000" w:sz="2" w:space="0"/>
              <w:right w:val="single" w:color="000000" w:sz="2" w:space="0"/>
            </w:tcBorders>
          </w:tcPr>
          <w:p w14:paraId="4CF39E1C">
            <w:pPr>
              <w:pStyle w:val="12"/>
              <w:spacing w:before="107" w:line="218" w:lineRule="auto"/>
              <w:ind w:left="385" w:right="143" w:hanging="203"/>
              <w:jc w:val="center"/>
              <w:rPr>
                <w:rFonts w:hint="eastAsia" w:ascii="仿宋" w:hAnsi="仿宋" w:eastAsia="仿宋" w:cs="仿宋"/>
                <w:color w:val="auto"/>
                <w:w w:val="95"/>
                <w:sz w:val="24"/>
                <w:szCs w:val="24"/>
                <w:lang w:eastAsia="zh-CN"/>
              </w:rPr>
            </w:pPr>
          </w:p>
        </w:tc>
      </w:tr>
      <w:tr w14:paraId="699F246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512" w:hRule="atLeast"/>
          <w:jc w:val="center"/>
        </w:trPr>
        <w:tc>
          <w:tcPr>
            <w:tcW w:w="6933" w:type="dxa"/>
            <w:gridSpan w:val="7"/>
          </w:tcPr>
          <w:p w14:paraId="051D6111">
            <w:pPr>
              <w:pStyle w:val="12"/>
              <w:jc w:val="center"/>
              <w:rPr>
                <w:rFonts w:hint="eastAsia" w:ascii="仿宋" w:hAnsi="仿宋" w:eastAsia="仿宋" w:cs="仿宋"/>
                <w:color w:val="auto"/>
                <w:sz w:val="30"/>
                <w:szCs w:val="30"/>
                <w:lang w:eastAsia="zh-CN"/>
              </w:rPr>
            </w:pPr>
            <w:r>
              <w:rPr>
                <w:rFonts w:hint="eastAsia" w:ascii="仿宋" w:hAnsi="仿宋" w:eastAsia="仿宋" w:cs="仿宋"/>
                <w:color w:val="auto"/>
                <w:kern w:val="2"/>
                <w:sz w:val="30"/>
                <w:szCs w:val="30"/>
                <w:lang w:val="en-US" w:eastAsia="zh-CN" w:bidi="ar-SA"/>
              </w:rPr>
              <w:t>总分</w:t>
            </w:r>
          </w:p>
        </w:tc>
        <w:tc>
          <w:tcPr>
            <w:tcW w:w="719" w:type="dxa"/>
          </w:tcPr>
          <w:p w14:paraId="28B69661">
            <w:pPr>
              <w:pStyle w:val="12"/>
              <w:jc w:val="center"/>
              <w:rPr>
                <w:rFonts w:hint="eastAsia" w:ascii="仿宋" w:hAnsi="仿宋" w:eastAsia="仿宋" w:cs="仿宋"/>
                <w:color w:val="auto"/>
                <w:sz w:val="30"/>
                <w:szCs w:val="30"/>
                <w:lang w:eastAsia="zh-CN"/>
              </w:rPr>
            </w:pPr>
          </w:p>
          <w:p w14:paraId="75088E58">
            <w:pPr>
              <w:pStyle w:val="12"/>
              <w:jc w:val="center"/>
              <w:rPr>
                <w:rFonts w:hint="eastAsia" w:ascii="仿宋" w:hAnsi="仿宋" w:eastAsia="仿宋" w:cs="仿宋"/>
                <w:color w:val="auto"/>
                <w:sz w:val="30"/>
                <w:szCs w:val="30"/>
                <w:lang w:eastAsia="zh-CN"/>
              </w:rPr>
            </w:pPr>
            <w:r>
              <w:rPr>
                <w:rFonts w:hint="eastAsia" w:ascii="仿宋" w:hAnsi="仿宋" w:eastAsia="仿宋" w:cs="仿宋"/>
                <w:color w:val="auto"/>
                <w:sz w:val="30"/>
                <w:szCs w:val="30"/>
                <w:lang w:eastAsia="zh-CN"/>
              </w:rPr>
              <w:t>100 分</w:t>
            </w:r>
          </w:p>
        </w:tc>
        <w:tc>
          <w:tcPr>
            <w:tcW w:w="1043" w:type="dxa"/>
          </w:tcPr>
          <w:p w14:paraId="7339F9CE">
            <w:pPr>
              <w:pStyle w:val="12"/>
              <w:jc w:val="center"/>
              <w:rPr>
                <w:rFonts w:hint="eastAsia" w:ascii="仿宋" w:hAnsi="仿宋" w:eastAsia="仿宋" w:cs="仿宋"/>
                <w:color w:val="auto"/>
                <w:sz w:val="30"/>
                <w:szCs w:val="30"/>
                <w:lang w:val="en-US" w:eastAsia="zh-CN"/>
              </w:rPr>
            </w:pPr>
          </w:p>
          <w:p w14:paraId="7FD34A51">
            <w:pPr>
              <w:pStyle w:val="12"/>
              <w:jc w:val="center"/>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99.8分</w:t>
            </w:r>
          </w:p>
        </w:tc>
        <w:tc>
          <w:tcPr>
            <w:tcW w:w="1183" w:type="dxa"/>
            <w:tcBorders>
              <w:right w:val="single" w:color="000000" w:sz="2" w:space="0"/>
            </w:tcBorders>
          </w:tcPr>
          <w:p w14:paraId="094AABB6">
            <w:pPr>
              <w:pStyle w:val="12"/>
              <w:jc w:val="center"/>
              <w:rPr>
                <w:rFonts w:hint="eastAsia" w:ascii="仿宋" w:hAnsi="仿宋" w:eastAsia="仿宋" w:cs="仿宋"/>
                <w:color w:val="auto"/>
                <w:sz w:val="30"/>
                <w:szCs w:val="30"/>
                <w:lang w:eastAsia="zh-CN"/>
              </w:rPr>
            </w:pPr>
          </w:p>
        </w:tc>
      </w:tr>
    </w:tbl>
    <w:p w14:paraId="681DEBF1">
      <w:pPr>
        <w:widowControl/>
        <w:shd w:val="clear" w:color="auto" w:fill="FFFFFF"/>
        <w:spacing w:line="400" w:lineRule="atLeast"/>
        <w:jc w:val="left"/>
        <w:rPr>
          <w:rFonts w:hint="default" w:ascii="仿宋" w:hAnsi="仿宋" w:eastAsia="仿宋" w:cs="仿宋"/>
          <w:color w:val="auto"/>
          <w:kern w:val="0"/>
          <w:sz w:val="30"/>
          <w:szCs w:val="30"/>
          <w:lang w:val="en-US" w:eastAsia="zh-CN"/>
        </w:rPr>
      </w:pPr>
      <w:r>
        <w:rPr>
          <w:rFonts w:hint="eastAsia" w:ascii="仿宋" w:hAnsi="仿宋" w:eastAsia="仿宋" w:cs="仿宋"/>
          <w:color w:val="auto"/>
          <w:kern w:val="0"/>
          <w:sz w:val="30"/>
          <w:szCs w:val="30"/>
        </w:rPr>
        <w:t>填表人：</w:t>
      </w:r>
      <w:r>
        <w:rPr>
          <w:rFonts w:hint="eastAsia" w:ascii="仿宋" w:hAnsi="仿宋" w:eastAsia="仿宋" w:cs="仿宋"/>
          <w:color w:val="auto"/>
          <w:kern w:val="0"/>
          <w:sz w:val="30"/>
          <w:szCs w:val="30"/>
          <w:lang w:eastAsia="zh-CN"/>
        </w:rPr>
        <w:t>龚志强</w:t>
      </w:r>
      <w:r>
        <w:rPr>
          <w:rFonts w:hint="eastAsia" w:ascii="仿宋" w:hAnsi="仿宋" w:eastAsia="仿宋" w:cs="仿宋"/>
          <w:color w:val="auto"/>
          <w:kern w:val="0"/>
          <w:sz w:val="30"/>
          <w:szCs w:val="30"/>
        </w:rPr>
        <w:t>    填报日期：202</w:t>
      </w:r>
      <w:r>
        <w:rPr>
          <w:rFonts w:hint="eastAsia" w:ascii="仿宋" w:hAnsi="仿宋" w:eastAsia="仿宋" w:cs="仿宋"/>
          <w:color w:val="auto"/>
          <w:kern w:val="0"/>
          <w:sz w:val="30"/>
          <w:szCs w:val="30"/>
          <w:lang w:val="en-US" w:eastAsia="zh-CN"/>
        </w:rPr>
        <w:t>5</w:t>
      </w:r>
      <w:r>
        <w:rPr>
          <w:rFonts w:hint="eastAsia" w:ascii="仿宋" w:hAnsi="仿宋" w:eastAsia="仿宋" w:cs="仿宋"/>
          <w:color w:val="auto"/>
          <w:kern w:val="0"/>
          <w:sz w:val="30"/>
          <w:szCs w:val="30"/>
        </w:rPr>
        <w:t>.</w:t>
      </w:r>
      <w:r>
        <w:rPr>
          <w:rFonts w:hint="eastAsia" w:ascii="仿宋" w:hAnsi="仿宋" w:eastAsia="仿宋" w:cs="仿宋"/>
          <w:color w:val="auto"/>
          <w:kern w:val="0"/>
          <w:sz w:val="30"/>
          <w:szCs w:val="30"/>
          <w:lang w:val="en-US" w:eastAsia="zh-CN"/>
        </w:rPr>
        <w:t>5</w:t>
      </w:r>
      <w:r>
        <w:rPr>
          <w:rFonts w:hint="eastAsia" w:ascii="仿宋" w:hAnsi="仿宋" w:eastAsia="仿宋" w:cs="仿宋"/>
          <w:color w:val="auto"/>
          <w:kern w:val="0"/>
          <w:sz w:val="30"/>
          <w:szCs w:val="30"/>
        </w:rPr>
        <w:t>.</w:t>
      </w:r>
      <w:r>
        <w:rPr>
          <w:rFonts w:hint="eastAsia" w:ascii="仿宋" w:hAnsi="仿宋" w:eastAsia="仿宋" w:cs="仿宋"/>
          <w:color w:val="auto"/>
          <w:kern w:val="0"/>
          <w:sz w:val="30"/>
          <w:szCs w:val="30"/>
          <w:lang w:val="en-US" w:eastAsia="zh-CN"/>
        </w:rPr>
        <w:t>18</w:t>
      </w:r>
      <w:r>
        <w:rPr>
          <w:rFonts w:hint="eastAsia" w:ascii="仿宋" w:hAnsi="仿宋" w:eastAsia="仿宋" w:cs="仿宋"/>
          <w:color w:val="auto"/>
          <w:kern w:val="0"/>
          <w:sz w:val="30"/>
          <w:szCs w:val="30"/>
        </w:rPr>
        <w:t>    </w:t>
      </w:r>
      <w:r>
        <w:rPr>
          <w:rFonts w:hint="eastAsia" w:ascii="仿宋" w:hAnsi="仿宋" w:eastAsia="仿宋" w:cs="仿宋"/>
          <w:color w:val="auto"/>
          <w:kern w:val="0"/>
          <w:sz w:val="30"/>
          <w:szCs w:val="30"/>
          <w:lang w:val="en-US" w:eastAsia="zh-CN"/>
        </w:rPr>
        <w:t xml:space="preserve">         </w:t>
      </w:r>
      <w:r>
        <w:rPr>
          <w:rFonts w:hint="eastAsia" w:ascii="仿宋" w:hAnsi="仿宋" w:eastAsia="仿宋" w:cs="仿宋"/>
          <w:color w:val="auto"/>
          <w:kern w:val="0"/>
          <w:sz w:val="30"/>
          <w:szCs w:val="30"/>
        </w:rPr>
        <w:t> 联系电话：</w:t>
      </w:r>
      <w:r>
        <w:rPr>
          <w:rFonts w:hint="eastAsia" w:ascii="仿宋" w:hAnsi="仿宋" w:eastAsia="仿宋" w:cs="仿宋"/>
          <w:color w:val="auto"/>
          <w:kern w:val="0"/>
          <w:sz w:val="30"/>
          <w:szCs w:val="30"/>
          <w:lang w:val="en-US" w:eastAsia="zh-CN"/>
        </w:rPr>
        <w:t>18900708282</w:t>
      </w:r>
    </w:p>
    <w:p w14:paraId="4C7F8A45">
      <w:pPr>
        <w:widowControl/>
        <w:shd w:val="clear" w:color="auto" w:fill="FFFFFF"/>
        <w:spacing w:line="600" w:lineRule="atLeast"/>
        <w:jc w:val="both"/>
        <w:rPr>
          <w:rFonts w:hint="eastAsia" w:ascii="仿宋" w:hAnsi="仿宋" w:eastAsia="仿宋" w:cs="仿宋"/>
          <w:color w:val="auto"/>
          <w:kern w:val="0"/>
          <w:sz w:val="30"/>
          <w:szCs w:val="30"/>
          <w:lang w:val="en-US" w:eastAsia="zh-CN"/>
        </w:rPr>
      </w:pPr>
    </w:p>
    <w:p w14:paraId="10AAC630">
      <w:pPr>
        <w:widowControl/>
        <w:shd w:val="clear" w:color="auto" w:fill="FFFFFF"/>
        <w:spacing w:line="600" w:lineRule="atLeast"/>
        <w:jc w:val="left"/>
        <w:rPr>
          <w:rFonts w:hint="eastAsia" w:ascii="仿宋" w:hAnsi="仿宋" w:eastAsia="仿宋" w:cs="仿宋"/>
          <w:color w:val="auto"/>
          <w:kern w:val="0"/>
          <w:sz w:val="30"/>
          <w:szCs w:val="30"/>
          <w:lang w:val="en-US" w:eastAsia="zh-CN"/>
        </w:rPr>
      </w:pPr>
      <w:r>
        <w:rPr>
          <w:rFonts w:hint="eastAsia" w:ascii="仿宋" w:hAnsi="仿宋" w:eastAsia="仿宋" w:cs="仿宋"/>
          <w:color w:val="auto"/>
          <w:kern w:val="0"/>
          <w:sz w:val="30"/>
          <w:szCs w:val="30"/>
        </w:rPr>
        <w:t>单位负责人签字：</w:t>
      </w:r>
      <w:r>
        <w:rPr>
          <w:rFonts w:hint="eastAsia" w:ascii="仿宋" w:hAnsi="仿宋" w:eastAsia="仿宋" w:cs="仿宋"/>
          <w:color w:val="auto"/>
          <w:kern w:val="0"/>
          <w:sz w:val="30"/>
          <w:szCs w:val="30"/>
          <w:lang w:val="en-US" w:eastAsia="zh-CN"/>
        </w:rPr>
        <w:t xml:space="preserve"> </w:t>
      </w:r>
    </w:p>
    <w:p w14:paraId="013CA59A">
      <w:pPr>
        <w:jc w:val="left"/>
        <w:rPr>
          <w:rFonts w:hint="eastAsia" w:ascii="仿宋" w:hAnsi="仿宋" w:eastAsia="仿宋" w:cs="仿宋"/>
          <w:color w:val="auto"/>
          <w:sz w:val="30"/>
          <w:szCs w:val="30"/>
        </w:rPr>
      </w:pPr>
    </w:p>
    <w:p w14:paraId="50939D13">
      <w:pPr>
        <w:jc w:val="center"/>
        <w:rPr>
          <w:rFonts w:hint="eastAsia" w:ascii="仿宋" w:hAnsi="仿宋" w:eastAsia="仿宋" w:cs="仿宋"/>
          <w:color w:val="auto"/>
          <w:sz w:val="30"/>
          <w:szCs w:val="30"/>
        </w:rPr>
      </w:pPr>
    </w:p>
    <w:p w14:paraId="01CE0B24">
      <w:pPr>
        <w:jc w:val="center"/>
        <w:rPr>
          <w:rFonts w:hint="eastAsia" w:ascii="仿宋" w:hAnsi="仿宋" w:eastAsia="仿宋" w:cs="仿宋"/>
          <w:color w:val="auto"/>
          <w:sz w:val="30"/>
          <w:szCs w:val="30"/>
        </w:rPr>
      </w:pPr>
    </w:p>
    <w:p w14:paraId="1DBD94D9">
      <w:pPr>
        <w:jc w:val="center"/>
        <w:rPr>
          <w:rFonts w:hint="eastAsia" w:ascii="仿宋" w:hAnsi="仿宋" w:eastAsia="仿宋" w:cs="仿宋"/>
          <w:color w:val="auto"/>
          <w:sz w:val="30"/>
          <w:szCs w:val="30"/>
        </w:rPr>
      </w:pPr>
    </w:p>
    <w:p w14:paraId="60937461">
      <w:pPr>
        <w:jc w:val="center"/>
        <w:rPr>
          <w:rFonts w:hint="eastAsia" w:ascii="仿宋" w:hAnsi="仿宋" w:eastAsia="仿宋" w:cs="仿宋"/>
          <w:color w:val="auto"/>
          <w:sz w:val="30"/>
          <w:szCs w:val="30"/>
        </w:rPr>
      </w:pPr>
    </w:p>
    <w:p w14:paraId="39E63685">
      <w:pPr>
        <w:jc w:val="center"/>
        <w:rPr>
          <w:rFonts w:hint="eastAsia" w:ascii="仿宋" w:hAnsi="仿宋" w:eastAsia="仿宋" w:cs="仿宋"/>
          <w:color w:val="auto"/>
          <w:sz w:val="30"/>
          <w:szCs w:val="30"/>
        </w:rPr>
      </w:pPr>
    </w:p>
    <w:p w14:paraId="4BEC3C97">
      <w:pPr>
        <w:jc w:val="center"/>
        <w:rPr>
          <w:rFonts w:hint="eastAsia" w:ascii="仿宋" w:hAnsi="仿宋" w:eastAsia="仿宋" w:cs="仿宋"/>
          <w:color w:val="auto"/>
          <w:sz w:val="30"/>
          <w:szCs w:val="30"/>
        </w:rPr>
      </w:pPr>
    </w:p>
    <w:p w14:paraId="1B578AA9">
      <w:pPr>
        <w:jc w:val="both"/>
        <w:rPr>
          <w:rFonts w:hint="eastAsia" w:ascii="仿宋" w:hAnsi="仿宋" w:eastAsia="仿宋" w:cs="仿宋"/>
          <w:color w:val="auto"/>
          <w:sz w:val="30"/>
          <w:szCs w:val="30"/>
        </w:rPr>
      </w:pPr>
    </w:p>
    <w:p w14:paraId="4E901BEB">
      <w:pPr>
        <w:jc w:val="center"/>
        <w:rPr>
          <w:rFonts w:hint="eastAsia" w:ascii="仿宋" w:hAnsi="仿宋" w:eastAsia="仿宋" w:cs="仿宋"/>
          <w:color w:val="auto"/>
          <w:sz w:val="30"/>
          <w:szCs w:val="30"/>
        </w:rPr>
      </w:pPr>
    </w:p>
    <w:p w14:paraId="164555C2">
      <w:pPr>
        <w:jc w:val="center"/>
        <w:rPr>
          <w:rFonts w:hint="eastAsia" w:ascii="仿宋" w:hAnsi="仿宋" w:eastAsia="仿宋" w:cs="仿宋"/>
          <w:color w:val="auto"/>
          <w:sz w:val="30"/>
          <w:szCs w:val="30"/>
        </w:rPr>
      </w:pPr>
    </w:p>
    <w:p w14:paraId="75E1B688">
      <w:pPr>
        <w:jc w:val="center"/>
        <w:rPr>
          <w:rFonts w:hint="eastAsia" w:ascii="仿宋" w:hAnsi="仿宋" w:eastAsia="仿宋" w:cs="仿宋"/>
          <w:color w:val="auto"/>
          <w:sz w:val="30"/>
          <w:szCs w:val="30"/>
        </w:rPr>
      </w:pPr>
    </w:p>
    <w:p w14:paraId="5A4A3F19">
      <w:pPr>
        <w:rPr>
          <w:rFonts w:hint="eastAsia" w:ascii="仿宋" w:hAnsi="仿宋" w:eastAsia="仿宋" w:cs="仿宋"/>
          <w:color w:val="auto"/>
          <w:sz w:val="30"/>
          <w:szCs w:val="30"/>
        </w:rPr>
      </w:pPr>
    </w:p>
    <w:p w14:paraId="7AD53322">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F9D072"/>
    <w:multiLevelType w:val="singleLevel"/>
    <w:tmpl w:val="2CF9D072"/>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A53001"/>
    <w:rsid w:val="1145536B"/>
    <w:rsid w:val="15015A4D"/>
    <w:rsid w:val="176E7588"/>
    <w:rsid w:val="1AAE0D6C"/>
    <w:rsid w:val="22C72083"/>
    <w:rsid w:val="2BF65B89"/>
    <w:rsid w:val="2EFE4992"/>
    <w:rsid w:val="30021956"/>
    <w:rsid w:val="351E6409"/>
    <w:rsid w:val="44BE2E8F"/>
    <w:rsid w:val="49A9147C"/>
    <w:rsid w:val="51AD2146"/>
    <w:rsid w:val="51C4760A"/>
    <w:rsid w:val="55A71C5F"/>
    <w:rsid w:val="5FF42EEF"/>
    <w:rsid w:val="71C9765B"/>
    <w:rsid w:val="7504757E"/>
    <w:rsid w:val="790373B5"/>
    <w:rsid w:val="7DFB33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footer"/>
    <w:basedOn w:val="1"/>
    <w:next w:val="1"/>
    <w:qFormat/>
    <w:uiPriority w:val="0"/>
    <w:pPr>
      <w:tabs>
        <w:tab w:val="center" w:pos="4153"/>
        <w:tab w:val="right" w:pos="8306"/>
      </w:tabs>
      <w:snapToGrid w:val="0"/>
      <w:jc w:val="left"/>
    </w:pPr>
    <w:rPr>
      <w:sz w:val="18"/>
    </w:rPr>
  </w:style>
  <w:style w:type="paragraph" w:styleId="4">
    <w:name w:val="toc 1"/>
    <w:basedOn w:val="1"/>
    <w:next w:val="1"/>
    <w:semiHidden/>
    <w:unhideWhenUsed/>
    <w:qFormat/>
    <w:uiPriority w:val="39"/>
    <w:pPr>
      <w:widowControl/>
      <w:spacing w:before="100" w:beforeAutospacing="1" w:after="100" w:afterAutospacing="1"/>
      <w:jc w:val="left"/>
    </w:pPr>
    <w:rPr>
      <w:rFonts w:ascii="宋体" w:hAnsi="宋体" w:eastAsia="宋体" w:cs="宋体"/>
      <w:kern w:val="0"/>
      <w:sz w:val="24"/>
      <w:szCs w:val="24"/>
    </w:rPr>
  </w:style>
  <w:style w:type="paragraph" w:styleId="5">
    <w:name w:val="Normal (Web)"/>
    <w:basedOn w:val="1"/>
    <w:qFormat/>
    <w:uiPriority w:val="99"/>
    <w:pPr>
      <w:widowControl/>
      <w:spacing w:before="100" w:beforeAutospacing="1" w:after="100" w:afterAutospacing="1"/>
      <w:jc w:val="left"/>
    </w:pPr>
    <w:rPr>
      <w:rFonts w:ascii="宋体" w:hAnsi="宋体" w:cs="宋体"/>
      <w:sz w:val="24"/>
      <w:szCs w:val="24"/>
    </w:rPr>
  </w:style>
  <w:style w:type="paragraph" w:styleId="6">
    <w:name w:val="Body Text First Indent"/>
    <w:basedOn w:val="2"/>
    <w:qFormat/>
    <w:uiPriority w:val="0"/>
    <w:pPr>
      <w:ind w:firstLine="664"/>
    </w:pPr>
  </w:style>
  <w:style w:type="character" w:styleId="9">
    <w:name w:val="Strong"/>
    <w:basedOn w:val="8"/>
    <w:qFormat/>
    <w:uiPriority w:val="0"/>
    <w:rPr>
      <w:b/>
      <w:bCs/>
    </w:rPr>
  </w:style>
  <w:style w:type="paragraph" w:customStyle="1" w:styleId="10">
    <w:name w:val="Body text|1"/>
    <w:basedOn w:val="1"/>
    <w:qFormat/>
    <w:uiPriority w:val="0"/>
    <w:pPr>
      <w:spacing w:line="408" w:lineRule="auto"/>
      <w:ind w:firstLine="400"/>
      <w:jc w:val="left"/>
    </w:pPr>
    <w:rPr>
      <w:rFonts w:ascii="宋体" w:hAnsi="宋体" w:cs="宋体"/>
      <w:color w:val="auto"/>
      <w:sz w:val="30"/>
      <w:szCs w:val="30"/>
      <w:lang w:val="zh-TW" w:eastAsia="zh-TW" w:bidi="zh-TW"/>
    </w:rPr>
  </w:style>
  <w:style w:type="paragraph" w:customStyle="1" w:styleId="11">
    <w:name w:val="p"/>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2">
    <w:name w:val="Table Paragraph"/>
    <w:basedOn w:val="1"/>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6185</Words>
  <Characters>6614</Characters>
  <Lines>0</Lines>
  <Paragraphs>0</Paragraphs>
  <TotalTime>66</TotalTime>
  <ScaleCrop>false</ScaleCrop>
  <LinksUpToDate>false</LinksUpToDate>
  <CharactersWithSpaces>6706</CharactersWithSpaces>
  <Application>WPS Office_12.1.0.22175_F1E327BC-269C-435d-A152-05C5408002CA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2025-05-01T05:31:00Z</dcterms:created>
  <dc:creator>Administrator</dc:creator>
  <cp:lastModifiedBy>WPS_1648870905</cp:lastModifiedBy>
  <cp:lastPrinted>2025-09-29T05:54:00Z</cp:lastPrinted>
  <dcterms:modified xsi:type="dcterms:W3CDTF">2025-10-17T01:31:29Z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2052-12.1.0.22175</vt:lpwstr>
  </property>
  <property fmtid="{D5CDD505-2E9C-101B-9397-08002B2CF9AE}" pid="3" name="ICV">
    <vt:lpwstr>5493905349444141991BCEA1E31A041C</vt:lpwstr>
  </property>
  <property fmtid="{D5CDD505-2E9C-101B-9397-08002B2CF9AE}" pid="4" name="KSOTemplateDocerSaveRecord">
    <vt:lpwstr>eyJoZGlkIjoiZDc0ZTAxZGRlMzY0ZDlkYjc3Mjg5ODQwYTcyYjBkZDMiLCJ1c2VySWQiOiIxMzUxNjQxNzU4In0=</vt:lpwstr>
  </property>
</Properties>
</file>